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86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532"/>
        <w:gridCol w:w="526"/>
        <w:gridCol w:w="553"/>
        <w:gridCol w:w="500"/>
        <w:gridCol w:w="984"/>
        <w:gridCol w:w="581"/>
        <w:gridCol w:w="1040"/>
        <w:gridCol w:w="744"/>
        <w:gridCol w:w="1320"/>
        <w:gridCol w:w="648"/>
        <w:gridCol w:w="675"/>
        <w:gridCol w:w="786"/>
        <w:gridCol w:w="1046"/>
        <w:gridCol w:w="1980"/>
        <w:gridCol w:w="857"/>
        <w:gridCol w:w="445"/>
        <w:gridCol w:w="455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086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附件二：富源县人民医院医共体成员单位2021年公开招聘编外专业技术人员计划表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富村中心卫生院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专科必须具有助理医师资格证书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临床专业知识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十八连山卫生院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护理学、高级护理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18—35岁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康复医学、针灸推拿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持有康复师资格证书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康复治疗专业知识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专科必须具有助理医师资格证书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富源县胜境社区卫生服务中心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中医临床学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必须具有执业医师证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中医临床医学专业知识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专科必须具有助理医师证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富源县黄泥河中心卫生院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临床中医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专科必须具有助理医师证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中医临床医学专业知识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墨红中心卫生院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中职放宽到40周岁，高职放宽到45周岁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持有助理医师及以上资格证书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35787"/>
    <w:rsid w:val="3BA850C3"/>
    <w:rsid w:val="702120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2021-11-19T08:56:24Z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19A5C30109A14581A72571D2907B274E</vt:lpwstr>
  </property>
</Properties>
</file>