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autoSpaceDN w:val="0"/>
        <w:adjustRightInd w:val="0"/>
        <w:spacing w:line="288" w:lineRule="auto"/>
        <w:ind w:firstLine="454"/>
        <w:rPr>
          <w:rFonts w:hint="eastAsia" w:ascii="黑体" w:eastAsia="黑体" w:cs="宋体"/>
          <w:color w:val="000000"/>
          <w:spacing w:val="-14"/>
          <w:kern w:val="0"/>
          <w:sz w:val="44"/>
          <w:szCs w:val="44"/>
          <w:lang w:val="zh-CN"/>
        </w:rPr>
      </w:pPr>
      <w:r>
        <w:rPr>
          <w:rFonts w:hint="eastAsia" w:ascii="黑体" w:eastAsia="黑体" w:cs="宋体"/>
          <w:color w:val="000000"/>
          <w:spacing w:val="-14"/>
          <w:kern w:val="0"/>
          <w:sz w:val="44"/>
          <w:szCs w:val="44"/>
          <w:lang w:val="zh-CN"/>
        </w:rPr>
        <w:t>云南省玉溪技师学院  云南省玉溪工业财贸学校</w:t>
      </w:r>
    </w:p>
    <w:p>
      <w:pPr>
        <w:suppressAutoHyphens/>
        <w:autoSpaceDE w:val="0"/>
        <w:autoSpaceDN w:val="0"/>
        <w:adjustRightInd w:val="0"/>
        <w:spacing w:line="288" w:lineRule="auto"/>
        <w:ind w:firstLine="454"/>
        <w:jc w:val="center"/>
        <w:rPr>
          <w:rFonts w:hint="eastAsia" w:ascii="黑体" w:eastAsia="黑体" w:cs="宋体"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  <w:lang w:val="zh-CN"/>
        </w:rPr>
        <w:t>简  介</w:t>
      </w:r>
    </w:p>
    <w:p>
      <w:pPr>
        <w:suppressAutoHyphens/>
        <w:autoSpaceDE w:val="0"/>
        <w:autoSpaceDN w:val="0"/>
        <w:adjustRightInd w:val="0"/>
        <w:spacing w:line="288" w:lineRule="auto"/>
        <w:ind w:firstLine="454"/>
        <w:jc w:val="center"/>
        <w:rPr>
          <w:rFonts w:hint="eastAsia" w:ascii="黑体" w:eastAsia="黑体" w:cs="宋体"/>
          <w:color w:val="000000"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76" w:firstLineChars="190"/>
        <w:jc w:val="both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云南省玉溪技师学院、云南省玉溪工业财贸学校是经云南省人民政府批准，以技师、高级技工等高技能人才培养为目标，融技工教育和中高职教育为一体的公办职业院校。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76" w:firstLineChars="190"/>
        <w:jc w:val="both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学院占地面积404亩，固定资产3.38亿元，在校生10000余人，教职工645人。学院下设机电技术系、财经系、计算机技术系、汽车技术系、数控技术系和建筑与生物工程系6个教学系，开设6大专业群40多个专业。建有中央财政支持的区域性综合实训基地和机电类、财经类、计算机类、汽车类、数控类、建筑生物类、陶艺、机械加工、3D打印、光伏技术、工业机器人等多个实训中心，设备资产总额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.5亿元。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76" w:firstLineChars="190"/>
        <w:jc w:val="both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学院实施“名师名校”战略，推行全员进修制度，强化“硕士型”、“双师型”、“一体化”教师队伍培养，现有硕士及在读博士6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人，云岭首席技师1人，云岭教学名师4人，省市级学科带头人及教学名师57人，“双师型”教师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361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人，技师、高级技师1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人，中高级职称2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2人，中高级考评员215人。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76" w:firstLineChars="190"/>
        <w:jc w:val="both"/>
        <w:textAlignment w:val="auto"/>
        <w:outlineLvl w:val="9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学院曾获国际生态学校、全国文明单位、全国教育系统先进集体、全国职业教育先进单位、全国创先争优先进基层党组织、全国首批中等职业教育改革发展示范学校、</w:t>
      </w:r>
      <w:r>
        <w:rPr>
          <w:rFonts w:hint="eastAsia" w:ascii="仿宋_GB2312" w:eastAsia="仿宋_GB2312"/>
          <w:bCs/>
          <w:sz w:val="32"/>
          <w:szCs w:val="32"/>
        </w:rPr>
        <w:t>国家高技能人才培训基地、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全国首批现代学徒制试点单位、全国首批环境教育示范学校、中国师德建设示范单位、全国五四红旗团委创建单位、全国“十一五”教科研先进单位、全国职业院校就业质量100强学校、</w:t>
      </w:r>
      <w:r>
        <w:rPr>
          <w:rFonts w:hint="eastAsia" w:ascii="仿宋_GB2312" w:eastAsia="仿宋_GB2312"/>
          <w:bCs/>
          <w:sz w:val="32"/>
          <w:szCs w:val="32"/>
        </w:rPr>
        <w:t>全国100所职业教育半工半读试点学校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等殊荣。</w:t>
      </w:r>
    </w:p>
    <w:p>
      <w:pPr>
        <w:widowControl/>
        <w:spacing w:line="440" w:lineRule="exact"/>
        <w:ind w:firstLine="560"/>
        <w:jc w:val="center"/>
        <w:textAlignment w:val="baseline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782E"/>
    <w:rsid w:val="4E8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2018-03-20T03:55:00Z</dcterms:created>
  <dc:creator>Administrator</dc:creator>
  <cp:lastModifiedBy>Administrator</cp:lastModifiedBy>
  <dcterms:modified xsi:type="dcterms:W3CDTF">2018-03-20T03:56:29Z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