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仿宋_GB2312"/>
          <w:bCs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bCs/>
          <w:color w:val="auto"/>
          <w:sz w:val="32"/>
          <w:szCs w:val="32"/>
        </w:rPr>
        <w:t>附件</w:t>
      </w:r>
      <w:r>
        <w:rPr>
          <w:rFonts w:ascii="黑体" w:hAnsi="黑体" w:eastAsia="黑体" w:cs="仿宋_GB2312"/>
          <w:bCs/>
          <w:color w:val="auto"/>
          <w:sz w:val="32"/>
          <w:szCs w:val="32"/>
        </w:rPr>
        <w:t>6</w:t>
      </w:r>
    </w:p>
    <w:p>
      <w:pPr>
        <w:spacing w:line="580" w:lineRule="exact"/>
        <w:jc w:val="center"/>
        <w:rPr>
          <w:rFonts w:ascii="方正小标宋简体" w:hAnsi="微软雅黑" w:eastAsia="方正小标宋简体" w:cs="宋体"/>
          <w:color w:val="auto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color w:val="auto"/>
          <w:sz w:val="44"/>
          <w:szCs w:val="44"/>
        </w:rPr>
        <w:t>曲靖医学高等专科学校</w:t>
      </w:r>
      <w:r>
        <w:rPr>
          <w:rFonts w:ascii="方正小标宋简体" w:hAnsi="微软雅黑" w:eastAsia="方正小标宋简体" w:cs="宋体"/>
          <w:color w:val="auto"/>
          <w:sz w:val="44"/>
          <w:szCs w:val="44"/>
        </w:rPr>
        <w:t>2022</w:t>
      </w:r>
      <w:r>
        <w:rPr>
          <w:rFonts w:hint="eastAsia" w:ascii="方正小标宋简体" w:hAnsi="微软雅黑" w:eastAsia="方正小标宋简体" w:cs="宋体"/>
          <w:color w:val="auto"/>
          <w:sz w:val="44"/>
          <w:szCs w:val="44"/>
        </w:rPr>
        <w:t>年</w:t>
      </w:r>
    </w:p>
    <w:p>
      <w:pPr>
        <w:spacing w:line="580" w:lineRule="exact"/>
        <w:jc w:val="center"/>
        <w:rPr>
          <w:rFonts w:ascii="方正小标宋简体" w:hAnsi="微软雅黑" w:eastAsia="方正小标宋简体" w:cs="宋体"/>
          <w:color w:val="auto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color w:val="auto"/>
          <w:sz w:val="44"/>
          <w:szCs w:val="44"/>
        </w:rPr>
        <w:t>教育人才与医疗卫生人才专项岗位计划表</w:t>
      </w:r>
    </w:p>
    <w:p>
      <w:pPr>
        <w:pStyle w:val="2"/>
        <w:rPr>
          <w:color w:val="auto"/>
        </w:rPr>
      </w:pPr>
    </w:p>
    <w:tbl>
      <w:tblPr>
        <w:tblStyle w:val="13"/>
        <w:tblW w:w="5000" w:type="pct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2908"/>
        <w:gridCol w:w="659"/>
        <w:gridCol w:w="579"/>
        <w:gridCol w:w="1143"/>
        <w:gridCol w:w="783"/>
        <w:gridCol w:w="790"/>
        <w:gridCol w:w="773"/>
        <w:gridCol w:w="663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64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szCs w:val="24"/>
              </w:rPr>
              <w:t>专业要求</w:t>
            </w:r>
          </w:p>
        </w:tc>
        <w:tc>
          <w:tcPr>
            <w:tcW w:w="37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</w:tcPr>
          <w:p>
            <w:pPr>
              <w:jc w:val="center"/>
              <w:rPr>
                <w:rFonts w:ascii="黑体" w:hAnsi="黑体" w:eastAsia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szCs w:val="24"/>
              </w:rPr>
              <w:t>计划人数</w:t>
            </w:r>
          </w:p>
        </w:tc>
        <w:tc>
          <w:tcPr>
            <w:tcW w:w="32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</w:tcPr>
          <w:p>
            <w:pPr>
              <w:jc w:val="center"/>
              <w:rPr>
                <w:rFonts w:ascii="黑体" w:hAnsi="黑体" w:eastAsia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szCs w:val="24"/>
              </w:rPr>
              <w:t>学历性质</w:t>
            </w:r>
          </w:p>
        </w:tc>
        <w:tc>
          <w:tcPr>
            <w:tcW w:w="64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</w:tcPr>
          <w:p>
            <w:pPr>
              <w:jc w:val="center"/>
              <w:rPr>
                <w:rFonts w:ascii="黑体" w:hAnsi="黑体" w:eastAsia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szCs w:val="24"/>
              </w:rPr>
              <w:t>学历要求</w:t>
            </w:r>
          </w:p>
        </w:tc>
        <w:tc>
          <w:tcPr>
            <w:tcW w:w="44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</w:tcPr>
          <w:p>
            <w:pPr>
              <w:jc w:val="center"/>
              <w:rPr>
                <w:rFonts w:ascii="黑体" w:hAnsi="黑体" w:eastAsia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szCs w:val="24"/>
              </w:rPr>
              <w:t>学位</w:t>
            </w:r>
          </w:p>
          <w:p>
            <w:pPr>
              <w:jc w:val="center"/>
              <w:rPr>
                <w:rFonts w:ascii="黑体" w:hAnsi="黑体" w:eastAsia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szCs w:val="24"/>
              </w:rPr>
              <w:t>要求</w:t>
            </w:r>
          </w:p>
        </w:tc>
        <w:tc>
          <w:tcPr>
            <w:tcW w:w="446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</w:tcPr>
          <w:p>
            <w:pPr>
              <w:jc w:val="center"/>
              <w:rPr>
                <w:rFonts w:ascii="黑体" w:hAnsi="黑体" w:eastAsia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szCs w:val="24"/>
              </w:rPr>
              <w:t>年龄</w:t>
            </w:r>
          </w:p>
          <w:p>
            <w:pPr>
              <w:jc w:val="center"/>
              <w:rPr>
                <w:rFonts w:ascii="黑体" w:hAnsi="黑体" w:eastAsia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szCs w:val="24"/>
              </w:rPr>
              <w:t>要求</w:t>
            </w:r>
          </w:p>
        </w:tc>
        <w:tc>
          <w:tcPr>
            <w:tcW w:w="436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</w:tcPr>
          <w:p>
            <w:pPr>
              <w:jc w:val="center"/>
              <w:rPr>
                <w:rFonts w:ascii="黑体" w:hAnsi="黑体" w:eastAsia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szCs w:val="24"/>
              </w:rPr>
              <w:t>毕业</w:t>
            </w:r>
          </w:p>
          <w:p>
            <w:pPr>
              <w:jc w:val="center"/>
              <w:rPr>
                <w:rFonts w:ascii="黑体" w:hAnsi="黑体" w:eastAsia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szCs w:val="24"/>
              </w:rPr>
              <w:t>时间</w:t>
            </w:r>
          </w:p>
        </w:tc>
        <w:tc>
          <w:tcPr>
            <w:tcW w:w="375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</w:tcPr>
          <w:p>
            <w:pPr>
              <w:jc w:val="center"/>
              <w:rPr>
                <w:rFonts w:ascii="黑体" w:hAnsi="黑体" w:eastAsia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ascii="微软雅黑" w:hAnsi="微软雅黑" w:eastAsia="微软雅黑" w:cs="宋体"/>
                <w:color w:val="auto"/>
                <w:szCs w:val="21"/>
              </w:rPr>
              <w:t>1</w:t>
            </w:r>
          </w:p>
        </w:tc>
        <w:tc>
          <w:tcPr>
            <w:tcW w:w="1641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u w:val="wave"/>
              </w:rPr>
              <w:t>医学技术学或口腔医学类</w:t>
            </w:r>
          </w:p>
        </w:tc>
        <w:tc>
          <w:tcPr>
            <w:tcW w:w="372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1</w:t>
            </w:r>
          </w:p>
        </w:tc>
        <w:tc>
          <w:tcPr>
            <w:tcW w:w="327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全日制</w:t>
            </w:r>
          </w:p>
        </w:tc>
        <w:tc>
          <w:tcPr>
            <w:tcW w:w="645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硕士研究生及以上</w:t>
            </w:r>
          </w:p>
        </w:tc>
        <w:tc>
          <w:tcPr>
            <w:tcW w:w="442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硕士及以上</w:t>
            </w:r>
          </w:p>
        </w:tc>
        <w:tc>
          <w:tcPr>
            <w:tcW w:w="446" w:type="pct"/>
            <w:vMerge w:val="restart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硕士研究生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40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周岁以内；博士研究生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45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周岁以内。</w:t>
            </w:r>
          </w:p>
        </w:tc>
        <w:tc>
          <w:tcPr>
            <w:tcW w:w="436" w:type="pct"/>
            <w:vMerge w:val="restart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2022年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应届毕业（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含择业期内未落实工作单位的2020年、2021年高校毕业生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）</w:t>
            </w:r>
          </w:p>
        </w:tc>
        <w:tc>
          <w:tcPr>
            <w:tcW w:w="375" w:type="pct"/>
            <w:vMerge w:val="restart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医疗卫生人才引进范围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ascii="微软雅黑" w:hAnsi="微软雅黑" w:eastAsia="微软雅黑" w:cs="宋体"/>
                <w:color w:val="auto"/>
                <w:szCs w:val="21"/>
              </w:rPr>
              <w:t>2</w:t>
            </w:r>
          </w:p>
        </w:tc>
        <w:tc>
          <w:tcPr>
            <w:tcW w:w="1641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  <w:u w:val="wave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u w:val="wave"/>
              </w:rPr>
              <w:t>眼科学或眼视光学类</w:t>
            </w:r>
          </w:p>
        </w:tc>
        <w:tc>
          <w:tcPr>
            <w:tcW w:w="372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1</w:t>
            </w:r>
          </w:p>
        </w:tc>
        <w:tc>
          <w:tcPr>
            <w:tcW w:w="327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全日制</w:t>
            </w:r>
          </w:p>
        </w:tc>
        <w:tc>
          <w:tcPr>
            <w:tcW w:w="645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硕士研究生及以上</w:t>
            </w:r>
          </w:p>
        </w:tc>
        <w:tc>
          <w:tcPr>
            <w:tcW w:w="442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硕士及以上</w:t>
            </w:r>
          </w:p>
        </w:tc>
        <w:tc>
          <w:tcPr>
            <w:tcW w:w="446" w:type="pct"/>
            <w:vMerge w:val="continue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  <w:tc>
          <w:tcPr>
            <w:tcW w:w="436" w:type="pct"/>
            <w:vMerge w:val="continue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  <w:tc>
          <w:tcPr>
            <w:tcW w:w="375" w:type="pct"/>
            <w:vMerge w:val="continue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ascii="微软雅黑" w:hAnsi="微软雅黑" w:eastAsia="微软雅黑" w:cs="宋体"/>
                <w:color w:val="auto"/>
                <w:szCs w:val="21"/>
              </w:rPr>
              <w:t>3</w:t>
            </w:r>
          </w:p>
        </w:tc>
        <w:tc>
          <w:tcPr>
            <w:tcW w:w="1641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  <w:u w:val="wave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u w:val="wave"/>
              </w:rPr>
              <w:t>临床医学类或护理学类</w:t>
            </w:r>
          </w:p>
        </w:tc>
        <w:tc>
          <w:tcPr>
            <w:tcW w:w="372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1</w:t>
            </w:r>
          </w:p>
        </w:tc>
        <w:tc>
          <w:tcPr>
            <w:tcW w:w="327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全日制</w:t>
            </w:r>
          </w:p>
        </w:tc>
        <w:tc>
          <w:tcPr>
            <w:tcW w:w="645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硕士研究生及以上</w:t>
            </w:r>
          </w:p>
        </w:tc>
        <w:tc>
          <w:tcPr>
            <w:tcW w:w="442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硕士及以上</w:t>
            </w:r>
          </w:p>
        </w:tc>
        <w:tc>
          <w:tcPr>
            <w:tcW w:w="44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43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375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ascii="微软雅黑" w:hAnsi="微软雅黑" w:eastAsia="微软雅黑" w:cs="宋体"/>
                <w:color w:val="auto"/>
                <w:szCs w:val="21"/>
              </w:rPr>
              <w:t>4</w:t>
            </w:r>
          </w:p>
        </w:tc>
        <w:tc>
          <w:tcPr>
            <w:tcW w:w="1641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  <w:u w:val="wave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u w:val="wave"/>
              </w:rPr>
              <w:t>肿瘤学或放射治疗类</w:t>
            </w:r>
          </w:p>
        </w:tc>
        <w:tc>
          <w:tcPr>
            <w:tcW w:w="372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1</w:t>
            </w:r>
          </w:p>
        </w:tc>
        <w:tc>
          <w:tcPr>
            <w:tcW w:w="327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全日制</w:t>
            </w:r>
          </w:p>
        </w:tc>
        <w:tc>
          <w:tcPr>
            <w:tcW w:w="645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硕士研究生及以上</w:t>
            </w:r>
          </w:p>
        </w:tc>
        <w:tc>
          <w:tcPr>
            <w:tcW w:w="442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硕士及以上</w:t>
            </w:r>
          </w:p>
        </w:tc>
        <w:tc>
          <w:tcPr>
            <w:tcW w:w="44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43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375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ascii="微软雅黑" w:hAnsi="微软雅黑" w:eastAsia="微软雅黑" w:cs="宋体"/>
                <w:color w:val="auto"/>
                <w:szCs w:val="21"/>
              </w:rPr>
              <w:t>5</w:t>
            </w:r>
          </w:p>
        </w:tc>
        <w:tc>
          <w:tcPr>
            <w:tcW w:w="1641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  <w:u w:val="wave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u w:val="wave"/>
              </w:rPr>
              <w:t>公共卫生与预防医学类</w:t>
            </w:r>
          </w:p>
        </w:tc>
        <w:tc>
          <w:tcPr>
            <w:tcW w:w="372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2</w:t>
            </w:r>
          </w:p>
        </w:tc>
        <w:tc>
          <w:tcPr>
            <w:tcW w:w="327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全日制</w:t>
            </w:r>
          </w:p>
        </w:tc>
        <w:tc>
          <w:tcPr>
            <w:tcW w:w="645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硕士研究生及以上</w:t>
            </w:r>
          </w:p>
        </w:tc>
        <w:tc>
          <w:tcPr>
            <w:tcW w:w="442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硕士及以上</w:t>
            </w:r>
          </w:p>
        </w:tc>
        <w:tc>
          <w:tcPr>
            <w:tcW w:w="44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43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375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ascii="微软雅黑" w:hAnsi="微软雅黑" w:eastAsia="微软雅黑" w:cs="宋体"/>
                <w:color w:val="auto"/>
                <w:szCs w:val="21"/>
              </w:rPr>
              <w:t>6</w:t>
            </w:r>
          </w:p>
        </w:tc>
        <w:tc>
          <w:tcPr>
            <w:tcW w:w="1641" w:type="pct"/>
            <w:tcBorders>
              <w:top w:val="single" w:color="auto" w:sz="4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u w:val="wave"/>
              </w:rPr>
              <w:t>中医学类</w:t>
            </w:r>
          </w:p>
        </w:tc>
        <w:tc>
          <w:tcPr>
            <w:tcW w:w="37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1</w:t>
            </w:r>
          </w:p>
        </w:tc>
        <w:tc>
          <w:tcPr>
            <w:tcW w:w="327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全日制</w:t>
            </w:r>
          </w:p>
        </w:tc>
        <w:tc>
          <w:tcPr>
            <w:tcW w:w="645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博士研究生及以上</w:t>
            </w:r>
          </w:p>
        </w:tc>
        <w:tc>
          <w:tcPr>
            <w:tcW w:w="44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博士及以上</w:t>
            </w:r>
          </w:p>
        </w:tc>
        <w:tc>
          <w:tcPr>
            <w:tcW w:w="44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43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375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ascii="微软雅黑" w:hAnsi="微软雅黑" w:eastAsia="微软雅黑" w:cs="宋体"/>
                <w:color w:val="auto"/>
                <w:szCs w:val="21"/>
              </w:rPr>
              <w:t>7</w:t>
            </w:r>
          </w:p>
        </w:tc>
        <w:tc>
          <w:tcPr>
            <w:tcW w:w="1641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u w:val="wave"/>
              </w:rPr>
              <w:t>基础医学类</w:t>
            </w:r>
          </w:p>
        </w:tc>
        <w:tc>
          <w:tcPr>
            <w:tcW w:w="37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1</w:t>
            </w:r>
          </w:p>
        </w:tc>
        <w:tc>
          <w:tcPr>
            <w:tcW w:w="327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全日制</w:t>
            </w:r>
          </w:p>
        </w:tc>
        <w:tc>
          <w:tcPr>
            <w:tcW w:w="645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博士研究生及以上</w:t>
            </w:r>
          </w:p>
        </w:tc>
        <w:tc>
          <w:tcPr>
            <w:tcW w:w="44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博士及以上</w:t>
            </w:r>
          </w:p>
        </w:tc>
        <w:tc>
          <w:tcPr>
            <w:tcW w:w="44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43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375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ascii="微软雅黑" w:hAnsi="微软雅黑" w:eastAsia="微软雅黑" w:cs="宋体"/>
                <w:color w:val="auto"/>
                <w:szCs w:val="21"/>
              </w:rPr>
              <w:t>8</w:t>
            </w:r>
          </w:p>
        </w:tc>
        <w:tc>
          <w:tcPr>
            <w:tcW w:w="1641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  <w:u w:val="wave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u w:val="wave"/>
              </w:rPr>
              <w:t>药学或中药学类</w:t>
            </w:r>
          </w:p>
        </w:tc>
        <w:tc>
          <w:tcPr>
            <w:tcW w:w="37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1</w:t>
            </w:r>
          </w:p>
        </w:tc>
        <w:tc>
          <w:tcPr>
            <w:tcW w:w="327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全日制</w:t>
            </w:r>
          </w:p>
        </w:tc>
        <w:tc>
          <w:tcPr>
            <w:tcW w:w="645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博士研究生及以上</w:t>
            </w:r>
          </w:p>
        </w:tc>
        <w:tc>
          <w:tcPr>
            <w:tcW w:w="44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博士及以上</w:t>
            </w:r>
          </w:p>
        </w:tc>
        <w:tc>
          <w:tcPr>
            <w:tcW w:w="446" w:type="pct"/>
            <w:vMerge w:val="continue"/>
            <w:tcBorders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436" w:type="pct"/>
            <w:vMerge w:val="continue"/>
            <w:tcBorders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375" w:type="pct"/>
            <w:vMerge w:val="continue"/>
            <w:tcBorders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ascii="微软雅黑" w:hAnsi="微软雅黑" w:eastAsia="微软雅黑" w:cs="宋体"/>
                <w:color w:val="auto"/>
                <w:szCs w:val="21"/>
              </w:rPr>
              <w:t>9</w:t>
            </w:r>
          </w:p>
        </w:tc>
        <w:tc>
          <w:tcPr>
            <w:tcW w:w="1641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  <w:u w:val="wave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心理学类</w:t>
            </w:r>
          </w:p>
        </w:tc>
        <w:tc>
          <w:tcPr>
            <w:tcW w:w="37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1</w:t>
            </w:r>
          </w:p>
        </w:tc>
        <w:tc>
          <w:tcPr>
            <w:tcW w:w="327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全日制</w:t>
            </w:r>
          </w:p>
        </w:tc>
        <w:tc>
          <w:tcPr>
            <w:tcW w:w="645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博士研究生及以上</w:t>
            </w:r>
          </w:p>
        </w:tc>
        <w:tc>
          <w:tcPr>
            <w:tcW w:w="44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博士及以上</w:t>
            </w:r>
          </w:p>
        </w:tc>
        <w:tc>
          <w:tcPr>
            <w:tcW w:w="446" w:type="pct"/>
            <w:vMerge w:val="restart"/>
            <w:tcBorders>
              <w:top w:val="single" w:color="auto" w:sz="4" w:space="0"/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硕士研究生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30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周岁以内；博士研究生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35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周岁以内。</w:t>
            </w:r>
          </w:p>
        </w:tc>
        <w:tc>
          <w:tcPr>
            <w:tcW w:w="436" w:type="pct"/>
            <w:vMerge w:val="restart"/>
            <w:tcBorders>
              <w:top w:val="single" w:color="auto" w:sz="4" w:space="0"/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2022年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应届毕业（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含择业期内未落实工作单位的2020年、2021年高校毕业生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）</w:t>
            </w:r>
          </w:p>
        </w:tc>
        <w:tc>
          <w:tcPr>
            <w:tcW w:w="375" w:type="pct"/>
            <w:vMerge w:val="restart"/>
            <w:tcBorders>
              <w:top w:val="single" w:color="auto" w:sz="4" w:space="0"/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教育人才引进范围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ascii="微软雅黑" w:hAnsi="微软雅黑" w:eastAsia="微软雅黑" w:cs="宋体"/>
                <w:color w:val="auto"/>
                <w:szCs w:val="21"/>
              </w:rPr>
              <w:t>10</w:t>
            </w:r>
          </w:p>
        </w:tc>
        <w:tc>
          <w:tcPr>
            <w:tcW w:w="1641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市场营销或工商管理类</w:t>
            </w:r>
          </w:p>
        </w:tc>
        <w:tc>
          <w:tcPr>
            <w:tcW w:w="37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1</w:t>
            </w:r>
          </w:p>
        </w:tc>
        <w:tc>
          <w:tcPr>
            <w:tcW w:w="327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全日制</w:t>
            </w:r>
          </w:p>
        </w:tc>
        <w:tc>
          <w:tcPr>
            <w:tcW w:w="645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博士研究生及以上</w:t>
            </w:r>
          </w:p>
        </w:tc>
        <w:tc>
          <w:tcPr>
            <w:tcW w:w="44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博士及以上</w:t>
            </w:r>
          </w:p>
        </w:tc>
        <w:tc>
          <w:tcPr>
            <w:tcW w:w="44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43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375" w:type="pct"/>
            <w:vMerge w:val="continue"/>
            <w:tcBorders>
              <w:top w:val="single" w:color="auto" w:sz="4" w:space="0"/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ascii="微软雅黑" w:hAnsi="微软雅黑" w:eastAsia="微软雅黑" w:cs="宋体"/>
                <w:color w:val="auto"/>
                <w:szCs w:val="21"/>
              </w:rPr>
              <w:t>11</w:t>
            </w:r>
          </w:p>
        </w:tc>
        <w:tc>
          <w:tcPr>
            <w:tcW w:w="1641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u w:val="wave"/>
              </w:rPr>
              <w:t>计算机或通信工程类</w:t>
            </w:r>
          </w:p>
        </w:tc>
        <w:tc>
          <w:tcPr>
            <w:tcW w:w="37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1</w:t>
            </w:r>
          </w:p>
        </w:tc>
        <w:tc>
          <w:tcPr>
            <w:tcW w:w="327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全日制</w:t>
            </w:r>
          </w:p>
        </w:tc>
        <w:tc>
          <w:tcPr>
            <w:tcW w:w="645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博士研究生及以上</w:t>
            </w:r>
          </w:p>
        </w:tc>
        <w:tc>
          <w:tcPr>
            <w:tcW w:w="44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博士及以上</w:t>
            </w:r>
          </w:p>
        </w:tc>
        <w:tc>
          <w:tcPr>
            <w:tcW w:w="44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43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375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ascii="微软雅黑" w:hAnsi="微软雅黑" w:eastAsia="微软雅黑" w:cs="宋体"/>
                <w:color w:val="auto"/>
                <w:szCs w:val="21"/>
              </w:rPr>
              <w:t>12</w:t>
            </w:r>
          </w:p>
        </w:tc>
        <w:tc>
          <w:tcPr>
            <w:tcW w:w="164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u w:val="wave"/>
              </w:rPr>
              <w:t>法学或思政课类</w:t>
            </w:r>
          </w:p>
        </w:tc>
        <w:tc>
          <w:tcPr>
            <w:tcW w:w="372" w:type="pct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2</w:t>
            </w:r>
          </w:p>
        </w:tc>
        <w:tc>
          <w:tcPr>
            <w:tcW w:w="327" w:type="pct"/>
            <w:tcBorders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全日制</w:t>
            </w:r>
          </w:p>
        </w:tc>
        <w:tc>
          <w:tcPr>
            <w:tcW w:w="645" w:type="pct"/>
            <w:tcBorders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博士研究生及以上</w:t>
            </w:r>
          </w:p>
        </w:tc>
        <w:tc>
          <w:tcPr>
            <w:tcW w:w="442" w:type="pct"/>
            <w:tcBorders>
              <w:left w:val="outset" w:color="000000" w:sz="6" w:space="0"/>
              <w:bottom w:val="single" w:color="auto" w:sz="4" w:space="0"/>
              <w:right w:val="outset" w:color="000000" w:sz="6" w:space="0"/>
            </w:tcBorders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博士及以上</w:t>
            </w:r>
          </w:p>
        </w:tc>
        <w:tc>
          <w:tcPr>
            <w:tcW w:w="44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43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375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ascii="微软雅黑" w:hAnsi="微软雅黑" w:eastAsia="微软雅黑" w:cs="宋体"/>
                <w:color w:val="auto"/>
                <w:szCs w:val="21"/>
              </w:rPr>
              <w:t>13</w:t>
            </w:r>
          </w:p>
        </w:tc>
        <w:tc>
          <w:tcPr>
            <w:tcW w:w="164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u w:val="wave"/>
              </w:rPr>
              <w:t>教育学类</w:t>
            </w:r>
          </w:p>
        </w:tc>
        <w:tc>
          <w:tcPr>
            <w:tcW w:w="37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1</w:t>
            </w:r>
          </w:p>
        </w:tc>
        <w:tc>
          <w:tcPr>
            <w:tcW w:w="327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全日制</w:t>
            </w:r>
          </w:p>
        </w:tc>
        <w:tc>
          <w:tcPr>
            <w:tcW w:w="645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博士研究生及以上</w:t>
            </w:r>
          </w:p>
        </w:tc>
        <w:tc>
          <w:tcPr>
            <w:tcW w:w="44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博士及以上</w:t>
            </w:r>
          </w:p>
        </w:tc>
        <w:tc>
          <w:tcPr>
            <w:tcW w:w="44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43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375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ascii="微软雅黑" w:hAnsi="微软雅黑" w:eastAsia="微软雅黑" w:cs="宋体"/>
                <w:color w:val="auto"/>
                <w:szCs w:val="21"/>
              </w:rPr>
              <w:t>14</w:t>
            </w:r>
          </w:p>
        </w:tc>
        <w:tc>
          <w:tcPr>
            <w:tcW w:w="164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  <w:u w:val="wave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u w:val="wave"/>
              </w:rPr>
              <w:t>园艺学或林学类</w:t>
            </w:r>
          </w:p>
        </w:tc>
        <w:tc>
          <w:tcPr>
            <w:tcW w:w="37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1</w:t>
            </w:r>
          </w:p>
        </w:tc>
        <w:tc>
          <w:tcPr>
            <w:tcW w:w="327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全日制</w:t>
            </w:r>
          </w:p>
        </w:tc>
        <w:tc>
          <w:tcPr>
            <w:tcW w:w="645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博士研究生及以上</w:t>
            </w:r>
          </w:p>
        </w:tc>
        <w:tc>
          <w:tcPr>
            <w:tcW w:w="44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博士及以上</w:t>
            </w:r>
          </w:p>
        </w:tc>
        <w:tc>
          <w:tcPr>
            <w:tcW w:w="44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43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375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ascii="微软雅黑" w:hAnsi="微软雅黑" w:eastAsia="微软雅黑" w:cs="宋体"/>
                <w:color w:val="auto"/>
                <w:szCs w:val="21"/>
              </w:rPr>
              <w:t>15</w:t>
            </w:r>
          </w:p>
        </w:tc>
        <w:tc>
          <w:tcPr>
            <w:tcW w:w="164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  <w:u w:val="wave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u w:val="wave"/>
              </w:rPr>
              <w:t>建筑学类</w:t>
            </w:r>
          </w:p>
        </w:tc>
        <w:tc>
          <w:tcPr>
            <w:tcW w:w="37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1</w:t>
            </w:r>
          </w:p>
        </w:tc>
        <w:tc>
          <w:tcPr>
            <w:tcW w:w="327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全日制</w:t>
            </w:r>
          </w:p>
        </w:tc>
        <w:tc>
          <w:tcPr>
            <w:tcW w:w="645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博士研究生及以上</w:t>
            </w:r>
          </w:p>
        </w:tc>
        <w:tc>
          <w:tcPr>
            <w:tcW w:w="44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博士及以上</w:t>
            </w:r>
          </w:p>
        </w:tc>
        <w:tc>
          <w:tcPr>
            <w:tcW w:w="44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436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375" w:type="pct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7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  <w:r>
              <w:rPr>
                <w:rFonts w:ascii="微软雅黑" w:hAnsi="微软雅黑" w:eastAsia="微软雅黑" w:cs="宋体"/>
                <w:color w:val="auto"/>
                <w:szCs w:val="21"/>
              </w:rPr>
              <w:t>16</w:t>
            </w:r>
          </w:p>
        </w:tc>
        <w:tc>
          <w:tcPr>
            <w:tcW w:w="164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  <w:u w:val="wave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u w:val="wave"/>
              </w:rPr>
              <w:t>文学或管理学类</w:t>
            </w:r>
          </w:p>
        </w:tc>
        <w:tc>
          <w:tcPr>
            <w:tcW w:w="37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1</w:t>
            </w:r>
          </w:p>
        </w:tc>
        <w:tc>
          <w:tcPr>
            <w:tcW w:w="327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全日制</w:t>
            </w:r>
          </w:p>
        </w:tc>
        <w:tc>
          <w:tcPr>
            <w:tcW w:w="645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博士研究生及以上</w:t>
            </w:r>
          </w:p>
        </w:tc>
        <w:tc>
          <w:tcPr>
            <w:tcW w:w="442" w:type="pct"/>
            <w:tcBorders>
              <w:top w:val="single" w:color="auto" w:sz="4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</w:tcPr>
          <w:p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博士及以上</w:t>
            </w:r>
          </w:p>
        </w:tc>
        <w:tc>
          <w:tcPr>
            <w:tcW w:w="446" w:type="pct"/>
            <w:vMerge w:val="continue"/>
            <w:tcBorders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436" w:type="pct"/>
            <w:vMerge w:val="continue"/>
            <w:tcBorders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  <w:tc>
          <w:tcPr>
            <w:tcW w:w="375" w:type="pct"/>
            <w:vMerge w:val="continue"/>
            <w:tcBorders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57" w:type="pct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auto"/>
                <w:sz w:val="28"/>
                <w:szCs w:val="28"/>
              </w:rPr>
              <w:t>合计</w:t>
            </w:r>
          </w:p>
        </w:tc>
        <w:tc>
          <w:tcPr>
            <w:tcW w:w="372" w:type="pct"/>
            <w:tcBorders>
              <w:top w:val="single" w:color="auto" w:sz="4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微软雅黑" w:hAnsi="微软雅黑" w:eastAsia="微软雅黑" w:cs="宋体"/>
                <w:color w:val="auto"/>
                <w:sz w:val="24"/>
                <w:szCs w:val="24"/>
              </w:rPr>
            </w:pPr>
            <w:r>
              <w:rPr>
                <w:rFonts w:ascii="微软雅黑" w:hAnsi="微软雅黑" w:eastAsia="微软雅黑" w:cs="宋体"/>
                <w:color w:val="auto"/>
                <w:sz w:val="28"/>
                <w:szCs w:val="28"/>
              </w:rPr>
              <w:t>18</w:t>
            </w:r>
          </w:p>
        </w:tc>
        <w:tc>
          <w:tcPr>
            <w:tcW w:w="327" w:type="pct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/>
                <w:color w:val="auto"/>
                <w:sz w:val="20"/>
              </w:rPr>
            </w:pPr>
          </w:p>
        </w:tc>
        <w:tc>
          <w:tcPr>
            <w:tcW w:w="645" w:type="pct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/>
                <w:color w:val="auto"/>
                <w:sz w:val="20"/>
              </w:rPr>
            </w:pPr>
          </w:p>
        </w:tc>
        <w:tc>
          <w:tcPr>
            <w:tcW w:w="442" w:type="pct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/>
                <w:color w:val="auto"/>
                <w:sz w:val="20"/>
              </w:rPr>
            </w:pPr>
          </w:p>
        </w:tc>
        <w:tc>
          <w:tcPr>
            <w:tcW w:w="446" w:type="pct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/>
                <w:color w:val="auto"/>
                <w:sz w:val="20"/>
              </w:rPr>
            </w:pPr>
          </w:p>
        </w:tc>
        <w:tc>
          <w:tcPr>
            <w:tcW w:w="436" w:type="pct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/>
                <w:color w:val="auto"/>
                <w:sz w:val="20"/>
              </w:rPr>
            </w:pPr>
          </w:p>
        </w:tc>
        <w:tc>
          <w:tcPr>
            <w:tcW w:w="375" w:type="pct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/>
                <w:color w:val="auto"/>
                <w:sz w:val="20"/>
              </w:rPr>
            </w:pPr>
          </w:p>
        </w:tc>
      </w:tr>
    </w:tbl>
    <w:p>
      <w:pPr>
        <w:jc w:val="left"/>
        <w:rPr>
          <w:rFonts w:ascii="Calibri" w:hAnsi="Calibri" w:eastAsia="仿宋" w:cstheme="minorBidi"/>
          <w:color w:val="auto"/>
          <w:kern w:val="2"/>
          <w:sz w:val="32"/>
          <w:szCs w:val="32"/>
        </w:rPr>
      </w:pPr>
      <w:bookmarkStart w:id="0" w:name="_GoBack"/>
      <w:bookmarkEnd w:id="0"/>
    </w:p>
    <w:sectPr>
      <w:footerReference r:id="rId3" w:type="default"/>
      <w:type w:val="continuous"/>
      <w:pgSz w:w="11906" w:h="16838"/>
      <w:pgMar w:top="1985" w:right="1474" w:bottom="1644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outside" w:y="1"/>
      <w:rPr>
        <w:rStyle w:val="16"/>
        <w:rFonts w:ascii="宋体" w:hAnsi="宋体"/>
        <w:sz w:val="24"/>
        <w:szCs w:val="24"/>
      </w:rPr>
    </w:pPr>
    <w:r>
      <w:rPr>
        <w:rStyle w:val="16"/>
        <w:rFonts w:hint="eastAsia" w:ascii="宋体" w:hAnsi="宋体"/>
        <w:sz w:val="24"/>
        <w:szCs w:val="24"/>
      </w:rPr>
      <w:t>—</w:t>
    </w:r>
    <w:r>
      <w:rPr>
        <w:rStyle w:val="16"/>
        <w:rFonts w:ascii="宋体" w:hAnsi="宋体"/>
        <w:sz w:val="28"/>
        <w:szCs w:val="28"/>
      </w:rPr>
      <w:fldChar w:fldCharType="begin"/>
    </w:r>
    <w:r>
      <w:rPr>
        <w:rStyle w:val="16"/>
        <w:rFonts w:ascii="宋体" w:hAnsi="宋体"/>
        <w:sz w:val="28"/>
        <w:szCs w:val="28"/>
      </w:rPr>
      <w:instrText xml:space="preserve">PAGE  </w:instrText>
    </w:r>
    <w:r>
      <w:rPr>
        <w:rStyle w:val="16"/>
        <w:rFonts w:ascii="宋体" w:hAnsi="宋体"/>
        <w:sz w:val="28"/>
        <w:szCs w:val="28"/>
      </w:rPr>
      <w:fldChar w:fldCharType="separate"/>
    </w:r>
    <w:r>
      <w:rPr>
        <w:rStyle w:val="16"/>
        <w:rFonts w:ascii="宋体" w:hAnsi="宋体"/>
        <w:sz w:val="28"/>
        <w:szCs w:val="28"/>
      </w:rPr>
      <w:t>1</w:t>
    </w:r>
    <w:r>
      <w:rPr>
        <w:rStyle w:val="16"/>
        <w:rFonts w:ascii="宋体" w:hAnsi="宋体"/>
        <w:sz w:val="28"/>
        <w:szCs w:val="28"/>
      </w:rPr>
      <w:fldChar w:fldCharType="end"/>
    </w:r>
    <w:r>
      <w:rPr>
        <w:rStyle w:val="16"/>
        <w:rFonts w:hint="eastAsia" w:ascii="宋体" w:hAnsi="宋体"/>
        <w:sz w:val="24"/>
        <w:szCs w:val="24"/>
      </w:rPr>
      <w:t>—</w:t>
    </w:r>
  </w:p>
  <w:p>
    <w:pPr>
      <w:pStyle w:val="9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46"/>
    <w:rsid w:val="000174E9"/>
    <w:rsid w:val="00042495"/>
    <w:rsid w:val="0009042F"/>
    <w:rsid w:val="000D2B5D"/>
    <w:rsid w:val="00130576"/>
    <w:rsid w:val="00140E3B"/>
    <w:rsid w:val="00151AF5"/>
    <w:rsid w:val="001B55C8"/>
    <w:rsid w:val="001C0BB8"/>
    <w:rsid w:val="001E54CB"/>
    <w:rsid w:val="0020036E"/>
    <w:rsid w:val="00226234"/>
    <w:rsid w:val="002D2F26"/>
    <w:rsid w:val="00314048"/>
    <w:rsid w:val="0032456A"/>
    <w:rsid w:val="003350EE"/>
    <w:rsid w:val="00341AF2"/>
    <w:rsid w:val="00345E13"/>
    <w:rsid w:val="00352F28"/>
    <w:rsid w:val="003B0AEC"/>
    <w:rsid w:val="003B2167"/>
    <w:rsid w:val="003E63EE"/>
    <w:rsid w:val="00487A08"/>
    <w:rsid w:val="004910B5"/>
    <w:rsid w:val="00493C2A"/>
    <w:rsid w:val="004E1951"/>
    <w:rsid w:val="005029E2"/>
    <w:rsid w:val="005060D2"/>
    <w:rsid w:val="005408CD"/>
    <w:rsid w:val="00562D7C"/>
    <w:rsid w:val="00572B0B"/>
    <w:rsid w:val="005A526A"/>
    <w:rsid w:val="006C2CAC"/>
    <w:rsid w:val="006E0E2A"/>
    <w:rsid w:val="00703811"/>
    <w:rsid w:val="007560D5"/>
    <w:rsid w:val="007D21DF"/>
    <w:rsid w:val="008D57B1"/>
    <w:rsid w:val="009143B1"/>
    <w:rsid w:val="00934513"/>
    <w:rsid w:val="009B08DC"/>
    <w:rsid w:val="00A02ABE"/>
    <w:rsid w:val="00A4185F"/>
    <w:rsid w:val="00A81830"/>
    <w:rsid w:val="00A875E0"/>
    <w:rsid w:val="00B12DB2"/>
    <w:rsid w:val="00B43F9A"/>
    <w:rsid w:val="00B63891"/>
    <w:rsid w:val="00B859C2"/>
    <w:rsid w:val="00BA11E7"/>
    <w:rsid w:val="00BE7895"/>
    <w:rsid w:val="00C338E1"/>
    <w:rsid w:val="00C83046"/>
    <w:rsid w:val="00CF2CC9"/>
    <w:rsid w:val="00D300F6"/>
    <w:rsid w:val="00D4261A"/>
    <w:rsid w:val="00D94974"/>
    <w:rsid w:val="00E04DA5"/>
    <w:rsid w:val="00E51A99"/>
    <w:rsid w:val="00F132BC"/>
    <w:rsid w:val="00F33982"/>
    <w:rsid w:val="00F42E44"/>
    <w:rsid w:val="00F94D8B"/>
    <w:rsid w:val="00FB2F94"/>
    <w:rsid w:val="00FC74C2"/>
    <w:rsid w:val="00FD2AEF"/>
    <w:rsid w:val="016A5229"/>
    <w:rsid w:val="02461DFC"/>
    <w:rsid w:val="02EC75C5"/>
    <w:rsid w:val="04871AF7"/>
    <w:rsid w:val="05DB1DB6"/>
    <w:rsid w:val="079509EB"/>
    <w:rsid w:val="09BD3C9D"/>
    <w:rsid w:val="0A6776B9"/>
    <w:rsid w:val="0D7A2220"/>
    <w:rsid w:val="0DBA4ACC"/>
    <w:rsid w:val="0EFE401D"/>
    <w:rsid w:val="11F0177A"/>
    <w:rsid w:val="1B561B96"/>
    <w:rsid w:val="1CD038E1"/>
    <w:rsid w:val="21586385"/>
    <w:rsid w:val="22430DD7"/>
    <w:rsid w:val="22722F87"/>
    <w:rsid w:val="232A5017"/>
    <w:rsid w:val="256F3899"/>
    <w:rsid w:val="25B004FE"/>
    <w:rsid w:val="26D20FF7"/>
    <w:rsid w:val="27B417F2"/>
    <w:rsid w:val="283B3443"/>
    <w:rsid w:val="28DD5D1A"/>
    <w:rsid w:val="2A6A6D5E"/>
    <w:rsid w:val="2ADC4481"/>
    <w:rsid w:val="2BC71340"/>
    <w:rsid w:val="2F14344A"/>
    <w:rsid w:val="311D66AC"/>
    <w:rsid w:val="32E85E5A"/>
    <w:rsid w:val="361D4823"/>
    <w:rsid w:val="36E02C5E"/>
    <w:rsid w:val="3732053E"/>
    <w:rsid w:val="37C822D5"/>
    <w:rsid w:val="383C3511"/>
    <w:rsid w:val="387F4300"/>
    <w:rsid w:val="3B1D1E78"/>
    <w:rsid w:val="3B244387"/>
    <w:rsid w:val="3CA26FAA"/>
    <w:rsid w:val="3D8D0825"/>
    <w:rsid w:val="3E06228D"/>
    <w:rsid w:val="3E1475AA"/>
    <w:rsid w:val="3E5A19BC"/>
    <w:rsid w:val="3E743351"/>
    <w:rsid w:val="3FF15C81"/>
    <w:rsid w:val="43187267"/>
    <w:rsid w:val="43775445"/>
    <w:rsid w:val="4B4B5931"/>
    <w:rsid w:val="4C4917F2"/>
    <w:rsid w:val="4C7D362F"/>
    <w:rsid w:val="515626A1"/>
    <w:rsid w:val="52FC19F2"/>
    <w:rsid w:val="54071205"/>
    <w:rsid w:val="542E1C45"/>
    <w:rsid w:val="547576B9"/>
    <w:rsid w:val="555F50ED"/>
    <w:rsid w:val="56F96516"/>
    <w:rsid w:val="58D7079C"/>
    <w:rsid w:val="5DD9045F"/>
    <w:rsid w:val="5F0E2942"/>
    <w:rsid w:val="5FA82319"/>
    <w:rsid w:val="60A57A64"/>
    <w:rsid w:val="66390956"/>
    <w:rsid w:val="68D25945"/>
    <w:rsid w:val="6AC344EC"/>
    <w:rsid w:val="6B6375F0"/>
    <w:rsid w:val="6C7653F0"/>
    <w:rsid w:val="6E0102B8"/>
    <w:rsid w:val="6E717F7B"/>
    <w:rsid w:val="714439F3"/>
    <w:rsid w:val="71BF0FEC"/>
    <w:rsid w:val="727C0DF2"/>
    <w:rsid w:val="732F42C1"/>
    <w:rsid w:val="77DF29A9"/>
    <w:rsid w:val="78701AB0"/>
    <w:rsid w:val="7A3B286B"/>
    <w:rsid w:val="7BC920F1"/>
    <w:rsid w:val="7BEE3352"/>
    <w:rsid w:val="7F966068"/>
    <w:rsid w:val="7FD8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color="000000"/>
      <w:lang w:val="en-US" w:eastAsia="zh-CN" w:bidi="ar-SA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Indent"/>
    <w:basedOn w:val="1"/>
    <w:qFormat/>
    <w:uiPriority w:val="0"/>
    <w:pPr>
      <w:ind w:firstLine="420" w:firstLineChars="200"/>
    </w:p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basedOn w:val="1"/>
    <w:link w:val="25"/>
    <w:unhideWhenUsed/>
    <w:qFormat/>
    <w:uiPriority w:val="99"/>
    <w:pPr>
      <w:widowControl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color w:val="auto"/>
      <w:kern w:val="2"/>
      <w:szCs w:val="22"/>
    </w:rPr>
  </w:style>
  <w:style w:type="paragraph" w:styleId="5">
    <w:name w:val="Body Text"/>
    <w:basedOn w:val="1"/>
    <w:next w:val="6"/>
    <w:link w:val="27"/>
    <w:qFormat/>
    <w:uiPriority w:val="99"/>
    <w:rPr>
      <w:sz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Times New Roman"/>
      <w:sz w:val="21"/>
      <w:szCs w:val="22"/>
      <w:lang w:val="en-US" w:eastAsia="zh-CN" w:bidi="ar-SA"/>
    </w:rPr>
  </w:style>
  <w:style w:type="paragraph" w:styleId="7">
    <w:name w:val="Date"/>
    <w:basedOn w:val="1"/>
    <w:next w:val="1"/>
    <w:qFormat/>
    <w:uiPriority w:val="0"/>
    <w:pPr>
      <w:ind w:left="100" w:leftChars="2500"/>
    </w:pPr>
  </w:style>
  <w:style w:type="paragraph" w:styleId="8">
    <w:name w:val="Balloon Text"/>
    <w:basedOn w:val="1"/>
    <w:link w:val="31"/>
    <w:qFormat/>
    <w:uiPriority w:val="99"/>
    <w:rPr>
      <w:sz w:val="18"/>
      <w:szCs w:val="18"/>
    </w:rPr>
  </w:style>
  <w:style w:type="paragraph" w:styleId="9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0">
    <w:name w:val="header"/>
    <w:basedOn w:val="1"/>
    <w:link w:val="2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99"/>
    <w:pPr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color w:val="auto"/>
      <w:sz w:val="24"/>
      <w:szCs w:val="24"/>
    </w:rPr>
  </w:style>
  <w:style w:type="paragraph" w:styleId="12">
    <w:name w:val="annotation subject"/>
    <w:basedOn w:val="4"/>
    <w:next w:val="4"/>
    <w:link w:val="26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Emphasis"/>
    <w:basedOn w:val="15"/>
    <w:qFormat/>
    <w:uiPriority w:val="20"/>
    <w:rPr>
      <w:i/>
      <w:iCs/>
    </w:rPr>
  </w:style>
  <w:style w:type="character" w:styleId="18">
    <w:name w:val="Hyperlink"/>
    <w:basedOn w:val="15"/>
    <w:qFormat/>
    <w:uiPriority w:val="0"/>
    <w:rPr>
      <w:color w:val="0000FF"/>
      <w:u w:val="single"/>
    </w:rPr>
  </w:style>
  <w:style w:type="character" w:styleId="19">
    <w:name w:val="annotation reference"/>
    <w:basedOn w:val="15"/>
    <w:unhideWhenUsed/>
    <w:qFormat/>
    <w:uiPriority w:val="99"/>
    <w:rPr>
      <w:sz w:val="21"/>
      <w:szCs w:val="21"/>
    </w:rPr>
  </w:style>
  <w:style w:type="paragraph" w:customStyle="1" w:styleId="20">
    <w:name w:val="Char Char Char Char"/>
    <w:basedOn w:val="3"/>
    <w:qFormat/>
    <w:uiPriority w:val="0"/>
    <w:pPr>
      <w:widowControl w:val="0"/>
      <w:spacing w:line="240" w:lineRule="auto"/>
      <w:textAlignment w:val="auto"/>
    </w:pPr>
    <w:rPr>
      <w:rFonts w:ascii="Tahoma" w:hAnsi="Tahoma"/>
      <w:color w:val="auto"/>
      <w:kern w:val="2"/>
      <w:sz w:val="24"/>
      <w:szCs w:val="24"/>
    </w:rPr>
  </w:style>
  <w:style w:type="paragraph" w:styleId="21">
    <w:name w:val="List Paragraph"/>
    <w:basedOn w:val="1"/>
    <w:qFormat/>
    <w:uiPriority w:val="34"/>
    <w:pPr>
      <w:widowControl w:val="0"/>
      <w:spacing w:line="240" w:lineRule="auto"/>
      <w:ind w:firstLine="420" w:firstLineChars="200"/>
      <w:textAlignment w:val="auto"/>
    </w:pPr>
    <w:rPr>
      <w:rFonts w:ascii="Calibri" w:hAnsi="Calibri" w:cs="宋体"/>
      <w:color w:val="auto"/>
      <w:kern w:val="2"/>
      <w:szCs w:val="22"/>
    </w:rPr>
  </w:style>
  <w:style w:type="character" w:customStyle="1" w:styleId="22">
    <w:name w:val="font01"/>
    <w:basedOn w:val="15"/>
    <w:qFormat/>
    <w:uiPriority w:val="0"/>
    <w:rPr>
      <w:rFonts w:hint="eastAsia" w:ascii="宋体" w:hAnsi="宋体" w:eastAsia="宋体" w:cs="宋体"/>
      <w:color w:val="000000"/>
      <w:sz w:val="40"/>
      <w:szCs w:val="40"/>
      <w:u w:val="none"/>
    </w:rPr>
  </w:style>
  <w:style w:type="character" w:customStyle="1" w:styleId="23">
    <w:name w:val="font11"/>
    <w:basedOn w:val="1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4">
    <w:name w:val="NormalCharacter"/>
    <w:semiHidden/>
    <w:qFormat/>
    <w:uiPriority w:val="0"/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customStyle="1" w:styleId="25">
    <w:name w:val="批注文字 字符"/>
    <w:basedOn w:val="15"/>
    <w:link w:val="4"/>
    <w:qFormat/>
    <w:uiPriority w:val="99"/>
    <w:rPr>
      <w:kern w:val="2"/>
      <w:sz w:val="21"/>
      <w:szCs w:val="22"/>
    </w:rPr>
  </w:style>
  <w:style w:type="character" w:customStyle="1" w:styleId="26">
    <w:name w:val="批注主题 字符"/>
    <w:basedOn w:val="25"/>
    <w:link w:val="12"/>
    <w:qFormat/>
    <w:uiPriority w:val="99"/>
    <w:rPr>
      <w:b/>
      <w:bCs/>
      <w:kern w:val="2"/>
      <w:sz w:val="21"/>
      <w:szCs w:val="22"/>
    </w:rPr>
  </w:style>
  <w:style w:type="character" w:customStyle="1" w:styleId="27">
    <w:name w:val="正文文本 字符"/>
    <w:basedOn w:val="15"/>
    <w:link w:val="5"/>
    <w:qFormat/>
    <w:uiPriority w:val="99"/>
    <w:rPr>
      <w:rFonts w:ascii="Times New Roman" w:hAnsi="Times New Roman" w:eastAsia="宋体" w:cs="Times New Roman"/>
      <w:color w:val="000000"/>
      <w:sz w:val="24"/>
      <w:u w:color="000000"/>
    </w:rPr>
  </w:style>
  <w:style w:type="character" w:customStyle="1" w:styleId="28">
    <w:name w:val="页眉 字符"/>
    <w:basedOn w:val="15"/>
    <w:link w:val="10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character" w:customStyle="1" w:styleId="29">
    <w:name w:val="页脚 字符"/>
    <w:basedOn w:val="15"/>
    <w:link w:val="9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paragraph" w:customStyle="1" w:styleId="30">
    <w:name w:val="Table Paragraph"/>
    <w:basedOn w:val="1"/>
    <w:qFormat/>
    <w:uiPriority w:val="1"/>
    <w:pPr>
      <w:widowControl w:val="0"/>
      <w:autoSpaceDE w:val="0"/>
      <w:autoSpaceDN w:val="0"/>
      <w:spacing w:line="240" w:lineRule="auto"/>
      <w:jc w:val="left"/>
      <w:textAlignment w:val="auto"/>
    </w:pPr>
    <w:rPr>
      <w:rFonts w:ascii="仿宋_GB2312" w:hAnsi="仿宋_GB2312" w:eastAsia="仿宋_GB2312" w:cs="仿宋_GB2312"/>
      <w:color w:val="auto"/>
      <w:sz w:val="22"/>
      <w:szCs w:val="22"/>
      <w:lang w:val="zh-CN" w:bidi="zh-CN"/>
    </w:rPr>
  </w:style>
  <w:style w:type="character" w:customStyle="1" w:styleId="31">
    <w:name w:val="批注框文本 字符"/>
    <w:basedOn w:val="15"/>
    <w:link w:val="8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paragraph" w:customStyle="1" w:styleId="32">
    <w:name w:val="Char"/>
    <w:basedOn w:val="1"/>
    <w:qFormat/>
    <w:uiPriority w:val="0"/>
    <w:pPr>
      <w:widowControl w:val="0"/>
      <w:spacing w:line="365" w:lineRule="atLeast"/>
      <w:ind w:left="1"/>
      <w:textAlignment w:val="auto"/>
    </w:pPr>
    <w:rPr>
      <w:color w:val="auto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CD6591-4140-4EDE-9266-DE94119022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1546</Words>
  <Characters>8814</Characters>
  <Lines>73</Lines>
  <Paragraphs>20</Paragraphs>
  <TotalTime>19</TotalTime>
  <ScaleCrop>false</ScaleCrop>
  <LinksUpToDate>false</LinksUpToDate>
  <CharactersWithSpaces>10340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2022-08-12T02:11:00Z</dcterms:created>
  <dc:creator>人事处</dc:creator>
  <cp:lastModifiedBy>Administrator</cp:lastModifiedBy>
  <cp:lastPrinted>2022-08-12T06:23:00Z</cp:lastPrinted>
  <dcterms:modified xsi:type="dcterms:W3CDTF">2022-08-15T03:02:46Z</dcterms:modified>
  <dc:title>关于孔德健同志退休的请示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9A41AF290D1E41F8822AF6ABEC019B83</vt:lpwstr>
  </property>
</Properties>
</file>