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center"/>
        <w:rPr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bdr w:val="none" w:color="auto" w:sz="0" w:space="0"/>
        </w:rPr>
        <w:t>通海县审计局招聘政府购买服务岗位人员岗位表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rPr>
          <w:sz w:val="17"/>
          <w:szCs w:val="17"/>
        </w:rPr>
      </w:pPr>
    </w:p>
    <w:tbl>
      <w:tblPr>
        <w:tblW w:w="848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51"/>
        <w:gridCol w:w="351"/>
        <w:gridCol w:w="401"/>
        <w:gridCol w:w="451"/>
        <w:gridCol w:w="601"/>
        <w:gridCol w:w="601"/>
        <w:gridCol w:w="650"/>
        <w:gridCol w:w="4122"/>
        <w:gridCol w:w="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户籍 /生源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目录、专业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一级目录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二级目录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            业</w:t>
            </w: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财政财务审计岗位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通海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普通高校本科及以上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人文社会科学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工商管理及市场营销类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财会；财会与审计；财务管理；财务会计；财务会计与审计；工业会计；工业企业财务会计；会计；会计学；商业财务会计；会计与审计；审计；审计学；注册会计师。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计算机工作岗位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通海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普通高校本科及以上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自然科学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计算机类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计算机技术与科学；计算机科学与技术；计算机数据库；数据库管理；数据库应用及信息管理；计算机软件工程。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35EF"/>
    <w:rsid w:val="6D535020"/>
    <w:rsid w:val="6F5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sz w:val="17"/>
      <w:szCs w:val="17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222222"/>
      <w:sz w:val="17"/>
      <w:szCs w:val="17"/>
      <w:u w:val="none"/>
    </w:rPr>
  </w:style>
  <w:style w:type="character" w:styleId="7">
    <w:name w:val="HTML Cite"/>
    <w:basedOn w:val="3"/>
    <w:uiPriority w:val="0"/>
  </w:style>
  <w:style w:type="character" w:customStyle="1" w:styleId="9">
    <w:name w:val="swiper-active-switch"/>
    <w:basedOn w:val="3"/>
    <w:uiPriority w:val="0"/>
    <w:rPr>
      <w:shd w:val="clear" w:fill="1727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2018-07-19T08:57:00Z</dcterms:created>
  <dc:creator>ASUS</dc:creator>
  <cp:lastModifiedBy>ASUS</cp:lastModifiedBy>
  <dcterms:modified xsi:type="dcterms:W3CDTF">2018-07-19T08:57:40Z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