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40" w:lineRule="exact"/>
        <w:rPr>
          <w:rFonts w:ascii="??" w:hAnsi="??" w:eastAsia="Times New Roman" w:cs="Times New Roman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/>
          <w:b w:val="0"/>
          <w:bCs w:val="0"/>
          <w:sz w:val="24"/>
          <w:szCs w:val="24"/>
        </w:rPr>
        <w:t>附件三：</w:t>
      </w: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云南省申请教师资格人员体检办法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一、为了顺利实施教师资格制度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根据《教师资格条例》及其实施办法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参照高等师范院校、中等师范学校招生工作的有关规定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结合我省实际情况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特制订本标准及办法。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二、参加体检的人员范围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按照我省实施教师资格制度的有关规定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申请各类教师资格的人员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除离退休人员外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均需参加体检。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三、体检标准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体检的结论分合格、不合格两种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凡有下列情况之一者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均为体检不合格。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器质性心脏病（风湿性心脏病、先天性心脏病、心肌病、频发性期前收缩、心电图不正常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血压超过</w:t>
      </w:r>
      <w:r>
        <w:rPr>
          <w:rFonts w:ascii="仿宋_GB2312" w:eastAsia="仿宋_GB2312" w:cs="仿宋_GB2312"/>
          <w:sz w:val="32"/>
          <w:szCs w:val="32"/>
        </w:rPr>
        <w:t>18.66/12KPa(14090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hint="eastAsia" w:ascii="仿宋_GB2312" w:eastAsia="仿宋_GB2312" w:cs="仿宋_GB2312"/>
          <w:sz w:val="32"/>
          <w:szCs w:val="32"/>
        </w:rPr>
        <w:t>低于</w:t>
      </w:r>
      <w:r>
        <w:rPr>
          <w:rFonts w:ascii="仿宋_GB2312" w:eastAsia="仿宋_GB2312" w:cs="仿宋_GB2312"/>
          <w:sz w:val="32"/>
          <w:szCs w:val="32"/>
        </w:rPr>
        <w:t>11.46/7.4KPa(86/56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。单项收缩压超过</w:t>
      </w:r>
      <w:r>
        <w:rPr>
          <w:rFonts w:ascii="仿宋_GB2312" w:eastAsia="仿宋_GB2312" w:cs="仿宋_GB2312"/>
          <w:sz w:val="32"/>
          <w:szCs w:val="32"/>
        </w:rPr>
        <w:t>21.33KPa(160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hint="eastAsia" w:ascii="仿宋_GB2312" w:eastAsia="仿宋_GB2312" w:cs="仿宋_GB2312"/>
          <w:sz w:val="32"/>
          <w:szCs w:val="32"/>
        </w:rPr>
        <w:t>低于</w:t>
      </w:r>
      <w:r>
        <w:rPr>
          <w:rFonts w:ascii="仿宋_GB2312" w:eastAsia="仿宋_GB2312" w:cs="仿宋_GB2312"/>
          <w:sz w:val="32"/>
          <w:szCs w:val="32"/>
        </w:rPr>
        <w:t>10.66KPa(80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。舒张压超过</w:t>
      </w:r>
      <w:r>
        <w:rPr>
          <w:rFonts w:ascii="仿宋_GB2312" w:eastAsia="仿宋_GB2312" w:cs="仿宋_GB2312"/>
          <w:sz w:val="32"/>
          <w:szCs w:val="32"/>
        </w:rPr>
        <w:t>12KPa(90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hint="eastAsia" w:ascii="仿宋_GB2312" w:eastAsia="仿宋_GB2312" w:cs="仿宋_GB2312"/>
          <w:sz w:val="32"/>
          <w:szCs w:val="32"/>
        </w:rPr>
        <w:t>低于</w:t>
      </w:r>
      <w:r>
        <w:rPr>
          <w:rFonts w:ascii="仿宋_GB2312" w:eastAsia="仿宋_GB2312" w:cs="仿宋_GB2312"/>
          <w:sz w:val="32"/>
          <w:szCs w:val="32"/>
        </w:rPr>
        <w:t>6.66KPa(50</w:t>
      </w:r>
      <w:r>
        <w:rPr>
          <w:rFonts w:hint="eastAsia" w:ascii="仿宋_GB2312" w:eastAsia="仿宋_GB2312" w:cs="仿宋_GB2312"/>
          <w:sz w:val="32"/>
          <w:szCs w:val="32"/>
        </w:rPr>
        <w:t>毫米汞柱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结核病未治愈者。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支气管扩张病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未治愈者。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肝大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质中等硬度以上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肝脾同时触及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肝在肋下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厘米以内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脾在肋下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厘米以内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肝功能不正常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肝在肋下超过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厘米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肝生理性下垂除外</w:t>
      </w:r>
      <w:r>
        <w:rPr>
          <w:rFonts w:ascii="仿宋_GB2312" w:eastAsia="仿宋_GB2312" w:cs="仿宋_GB2312"/>
          <w:sz w:val="32"/>
          <w:szCs w:val="32"/>
        </w:rPr>
        <w:t>);</w:t>
      </w:r>
      <w:r>
        <w:rPr>
          <w:rFonts w:hint="eastAsia" w:ascii="仿宋_GB2312" w:eastAsia="仿宋_GB2312" w:cs="仿宋_GB2312"/>
          <w:sz w:val="32"/>
          <w:szCs w:val="32"/>
        </w:rPr>
        <w:t>单纯脾大超过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厘米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肝功能亢进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单纯脾大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厘米以上。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有各种恶性肿瘤病史者。各种结缔组织疾病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胶原疾病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。内分泌系统疾病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如糖尿病、尿崩症、肢端肥大症等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hint="eastAsia" w:ascii="仿宋_GB2312" w:eastAsia="仿宋_GB2312" w:cs="仿宋_GB2312"/>
          <w:sz w:val="32"/>
          <w:szCs w:val="32"/>
        </w:rPr>
        <w:t>慢性肾炎，未治愈者。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8.e</w:t>
      </w:r>
      <w:r>
        <w:rPr>
          <w:rFonts w:hint="eastAsia" w:ascii="仿宋_GB2312" w:eastAsia="仿宋_GB2312" w:cs="仿宋_GB2312"/>
          <w:sz w:val="32"/>
          <w:szCs w:val="32"/>
        </w:rPr>
        <w:t>癫痫病史、精神病史、癔病史、遗尿症、夜游症。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hint="eastAsia" w:ascii="仿宋_GB2312" w:eastAsia="仿宋_GB2312" w:cs="仿宋_GB2312"/>
          <w:sz w:val="32"/>
          <w:szCs w:val="32"/>
        </w:rPr>
        <w:t>肝切除超过一叶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肺不张一叶以上。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类风湿脊柱强直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慢性骨髓炎。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麻风病患者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未治愈。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12.HIV</w:t>
      </w:r>
      <w:r>
        <w:rPr>
          <w:rFonts w:hint="eastAsia" w:ascii="仿宋_GB2312" w:eastAsia="仿宋_GB2312" w:cs="仿宋_GB2312"/>
          <w:sz w:val="32"/>
          <w:szCs w:val="32"/>
        </w:rPr>
        <w:t>病毒感染者。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hint="eastAsia" w:ascii="仿宋_GB2312" w:eastAsia="仿宋_GB2312" w:cs="仿宋_GB2312"/>
          <w:sz w:val="32"/>
          <w:szCs w:val="32"/>
        </w:rPr>
        <w:t>青光眼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视网膜、视神经疾病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陈旧性或稳定性眼底病除外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hint="eastAsia" w:ascii="仿宋_GB2312" w:eastAsia="仿宋_GB2312" w:cs="仿宋_GB2312"/>
          <w:sz w:val="32"/>
          <w:szCs w:val="32"/>
        </w:rPr>
        <w:t>两眼矫正视力之和低于</w:t>
      </w:r>
      <w:r>
        <w:rPr>
          <w:rFonts w:ascii="仿宋_GB2312" w:eastAsia="仿宋_GB2312" w:cs="仿宋_GB2312"/>
          <w:sz w:val="32"/>
          <w:szCs w:val="32"/>
        </w:rPr>
        <w:t>5.0</w:t>
      </w:r>
      <w:r>
        <w:rPr>
          <w:rFonts w:hint="eastAsia" w:ascii="仿宋_GB2312" w:eastAsia="仿宋_GB2312" w:cs="仿宋_GB2312"/>
          <w:sz w:val="32"/>
          <w:szCs w:val="32"/>
        </w:rPr>
        <w:t>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体检实施中遇此情况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用标准对数视力表中相应的小数记录法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记录两眼视力之和再折算成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分记录数值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hint="eastAsia" w:ascii="仿宋_GB2312" w:eastAsia="仿宋_GB2312" w:cs="仿宋_GB2312"/>
          <w:sz w:val="32"/>
          <w:szCs w:val="32"/>
        </w:rPr>
        <w:t>两耳听力均低于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米。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hint="eastAsia" w:ascii="仿宋_GB2312" w:eastAsia="仿宋_GB2312" w:cs="仿宋_GB2312"/>
          <w:sz w:val="32"/>
          <w:szCs w:val="32"/>
        </w:rPr>
        <w:t>两上肢或两下肢不能运用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两下肢不等长超过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厘米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脊柱侧弯超过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厘米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肌力二级以下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显著胸廓畸形。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hint="eastAsia" w:ascii="仿宋_GB2312" w:eastAsia="仿宋_GB2312" w:cs="仿宋_GB2312"/>
          <w:sz w:val="32"/>
          <w:szCs w:val="32"/>
        </w:rPr>
        <w:t>严重的口吃、口腔有生理缺陷及耳、鼻、喉疾病之一防碍教学工作者。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18.</w:t>
      </w:r>
      <w:r>
        <w:rPr>
          <w:rFonts w:hint="eastAsia" w:ascii="仿宋_GB2312" w:eastAsia="仿宋_GB2312" w:cs="仿宋_GB2312"/>
          <w:sz w:val="32"/>
          <w:szCs w:val="32"/>
        </w:rPr>
        <w:t>面部有较大面积疤、麻、血管瘤或白癜风、黑色素痣等。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19.</w:t>
      </w:r>
      <w:r>
        <w:rPr>
          <w:rFonts w:hint="eastAsia" w:ascii="仿宋_GB2312" w:eastAsia="仿宋_GB2312" w:cs="仿宋_GB2312"/>
          <w:sz w:val="32"/>
          <w:szCs w:val="32"/>
        </w:rPr>
        <w:t>除以上各项外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其它影响教学工作的疾病。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四、体检机构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由各级教师资格管理机构指定的医院负责体检。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五、体检要求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eastAsia="仿宋_GB2312" w:cs="仿宋_GB2312"/>
          <w:sz w:val="32"/>
          <w:szCs w:val="32"/>
        </w:rPr>
        <w:t>教师资格申请人员体检工作是一项很重要和复杂的工作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各级有关部门要备好宣传教育和组织工作。在体检时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要做好协调、指导、督促检查工作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并负责解决体检中的疑难问题。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承担体检任务的医院要安排好一名业务副院长负责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并选调政治思想好、工作责任心强、作风正派、业务水平高的各科医师、护士和工作人员组成。人员安排要注意新老搭配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检查队伍要相对稳定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便于体检工作的顺利进行。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3.</w:t>
      </w:r>
      <w:r>
        <w:rPr>
          <w:rFonts w:hint="eastAsia" w:ascii="仿宋_GB2312" w:eastAsia="仿宋_GB2312" w:cs="仿宋_GB2312"/>
          <w:sz w:val="32"/>
          <w:szCs w:val="32"/>
        </w:rPr>
        <w:t>体检前应组织全体检查人员认真学习国家的有关规定和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体检标准及办法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等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对负责体检的人员进行必要的培训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制定相应的措施和奖惩制度。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4.</w:t>
      </w:r>
      <w:r>
        <w:rPr>
          <w:rFonts w:hint="eastAsia" w:ascii="仿宋_GB2312" w:eastAsia="仿宋_GB2312" w:cs="仿宋_GB2312"/>
          <w:sz w:val="32"/>
          <w:szCs w:val="32"/>
        </w:rPr>
        <w:t>体检过程中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体检表、检验单应指定专人传递和集中保管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不准让申请人员自带。进行</w:t>
      </w:r>
      <w:r>
        <w:rPr>
          <w:rFonts w:ascii="仿宋_GB2312" w:eastAsia="仿宋_GB2312" w:cs="仿宋_GB2312"/>
          <w:sz w:val="32"/>
          <w:szCs w:val="32"/>
        </w:rPr>
        <w:t>X</w:t>
      </w:r>
      <w:r>
        <w:rPr>
          <w:rFonts w:hint="eastAsia" w:ascii="仿宋_GB2312" w:eastAsia="仿宋_GB2312" w:cs="仿宋_GB2312"/>
          <w:sz w:val="32"/>
          <w:szCs w:val="32"/>
        </w:rPr>
        <w:t>光胸透时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要指定专人组织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排好顺序逐个对照检查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以防漏检或作弊。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5.</w:t>
      </w:r>
      <w:r>
        <w:rPr>
          <w:rFonts w:hint="eastAsia" w:ascii="仿宋_GB2312" w:eastAsia="仿宋_GB2312" w:cs="仿宋_GB2312"/>
          <w:sz w:val="32"/>
          <w:szCs w:val="32"/>
        </w:rPr>
        <w:t>参加体检的各科医生对本科所检的项目负责。不要漏填或错填。发现阳性体征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一律如实记入体检表内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不得随意涂改。如确需更正的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应在更改的结果上面横腰划一条横杆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使原来更改的字迹能清晰可见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然后在右边写上更改后论断或数据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主检医生在更改后要签名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并加盖体检医院公章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以示负责。疾病名称、化验结果及体检结论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均应用中文填写。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6.</w:t>
      </w:r>
      <w:r>
        <w:rPr>
          <w:rFonts w:hint="eastAsia" w:ascii="仿宋_GB2312" w:eastAsia="仿宋_GB2312" w:cs="仿宋_GB2312"/>
          <w:sz w:val="32"/>
          <w:szCs w:val="32"/>
        </w:rPr>
        <w:t>体检中若发现有疑难问题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应采取集体会诊或进一步检查后再下结论。若因设备条件限制或会诊仍难判断者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到教师资格管理机构指定的上级医院复查。复查时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只限单科复查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并用原体检表。复查时要指派专人陪同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上级医院对体检站的诊断结论否定时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要在诊断证明书上详注复查结果。资格认定申请人员自行取得的任何检查材料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均不得作为资格认定健康状况的依据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拒绝接受。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7.</w:t>
      </w:r>
      <w:r>
        <w:rPr>
          <w:rFonts w:hint="eastAsia" w:ascii="仿宋_GB2312" w:eastAsia="仿宋_GB2312" w:cs="仿宋_GB2312"/>
          <w:sz w:val="32"/>
          <w:szCs w:val="32"/>
        </w:rPr>
        <w:t>体检工作人员要做好当日检查所需器材、药液和试剂。器械应及时消毒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仪表要每日校正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试剂要保证其浓度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确保检查结果的准确。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8.</w:t>
      </w:r>
      <w:r>
        <w:rPr>
          <w:rFonts w:hint="eastAsia" w:ascii="仿宋_GB2312" w:eastAsia="仿宋_GB2312" w:cs="仿宋_GB2312"/>
          <w:sz w:val="32"/>
          <w:szCs w:val="32"/>
        </w:rPr>
        <w:t>主检医师及时综合各科检查结果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全面检查无误后认真作出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合格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不合格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的结论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填写在结论栏内。医院根据体检综合情况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对资格认定健康状况下作出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合格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不合格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的结论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加盖公章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并通知申请人员取体检表。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9.</w:t>
      </w:r>
      <w:r>
        <w:rPr>
          <w:rFonts w:hint="eastAsia" w:ascii="仿宋_GB2312" w:eastAsia="仿宋_GB2312" w:cs="仿宋_GB2312"/>
          <w:sz w:val="32"/>
          <w:szCs w:val="32"/>
        </w:rPr>
        <w:t>对申请人员进行健康检查是一项严肃的工作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体检时各个环节都要把好关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要实事求是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不得弄虚作假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如发现弄虚作假者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除取消本人认定资格外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对责任人要严肃处理。体检医院出现严重问题者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教师资格管理机构要及时取消其体检资格。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10.</w:t>
      </w:r>
      <w:r>
        <w:rPr>
          <w:rFonts w:hint="eastAsia" w:ascii="仿宋_GB2312" w:eastAsia="仿宋_GB2312" w:cs="仿宋_GB2312"/>
          <w:sz w:val="32"/>
          <w:szCs w:val="32"/>
        </w:rPr>
        <w:t>负责体检的医院要紧密配合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提高效率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体检时间一般不超过七个工作日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情况特殊者要及时告知申请人员。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六、本办法自发文之日起执行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由云南省教师资格认定机构负责解释。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337AE6"/>
    <w:rsid w:val="00091B80"/>
    <w:rsid w:val="000B37BB"/>
    <w:rsid w:val="000D2C32"/>
    <w:rsid w:val="00110566"/>
    <w:rsid w:val="00147730"/>
    <w:rsid w:val="00156274"/>
    <w:rsid w:val="001B0188"/>
    <w:rsid w:val="00212E74"/>
    <w:rsid w:val="00245333"/>
    <w:rsid w:val="002D3A08"/>
    <w:rsid w:val="004678A8"/>
    <w:rsid w:val="00623DFC"/>
    <w:rsid w:val="00834E61"/>
    <w:rsid w:val="00856E18"/>
    <w:rsid w:val="008C43EE"/>
    <w:rsid w:val="0096400E"/>
    <w:rsid w:val="009B1274"/>
    <w:rsid w:val="00B94CCA"/>
    <w:rsid w:val="00C23D20"/>
    <w:rsid w:val="00E91031"/>
    <w:rsid w:val="00EE02EE"/>
    <w:rsid w:val="00EF0045"/>
    <w:rsid w:val="00F0483C"/>
    <w:rsid w:val="00FF28C5"/>
    <w:rsid w:val="0898137E"/>
    <w:rsid w:val="0ABF2F90"/>
    <w:rsid w:val="0D5D595F"/>
    <w:rsid w:val="18CB217A"/>
    <w:rsid w:val="1A232F9C"/>
    <w:rsid w:val="23CC6868"/>
    <w:rsid w:val="270D1321"/>
    <w:rsid w:val="2B946245"/>
    <w:rsid w:val="2BB72A82"/>
    <w:rsid w:val="2DDE071F"/>
    <w:rsid w:val="2E34506A"/>
    <w:rsid w:val="30214725"/>
    <w:rsid w:val="305B24F3"/>
    <w:rsid w:val="312E6102"/>
    <w:rsid w:val="31BD4EAA"/>
    <w:rsid w:val="31CD24E3"/>
    <w:rsid w:val="31FC6506"/>
    <w:rsid w:val="3326222F"/>
    <w:rsid w:val="34534025"/>
    <w:rsid w:val="35AE0B4E"/>
    <w:rsid w:val="38131989"/>
    <w:rsid w:val="39AB326F"/>
    <w:rsid w:val="3A385519"/>
    <w:rsid w:val="3ABF1590"/>
    <w:rsid w:val="3BCC4036"/>
    <w:rsid w:val="3E096CEB"/>
    <w:rsid w:val="3EFE5BBE"/>
    <w:rsid w:val="404822FD"/>
    <w:rsid w:val="41F0362E"/>
    <w:rsid w:val="4539619E"/>
    <w:rsid w:val="49371EF6"/>
    <w:rsid w:val="4B26703E"/>
    <w:rsid w:val="4B7D6921"/>
    <w:rsid w:val="4CB733FF"/>
    <w:rsid w:val="4F8D0AEF"/>
    <w:rsid w:val="53E95147"/>
    <w:rsid w:val="56CD0E0C"/>
    <w:rsid w:val="5D4D2F70"/>
    <w:rsid w:val="600E4B13"/>
    <w:rsid w:val="605770F4"/>
    <w:rsid w:val="624015E2"/>
    <w:rsid w:val="63F06F9E"/>
    <w:rsid w:val="67B37AE5"/>
    <w:rsid w:val="6B952373"/>
    <w:rsid w:val="70337AE6"/>
    <w:rsid w:val="73962E81"/>
    <w:rsid w:val="74FC728D"/>
    <w:rsid w:val="751D6F0C"/>
    <w:rsid w:val="763A1A50"/>
    <w:rsid w:val="7663643A"/>
    <w:rsid w:val="796024D2"/>
    <w:rsid w:val="79E05DD8"/>
    <w:rsid w:val="79E45F5A"/>
    <w:rsid w:val="7BAC196B"/>
    <w:rsid w:val="7D596DA3"/>
    <w:rsid w:val="7DB72D5D"/>
    <w:rsid w:val="7E4F3A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FollowedHyperlink"/>
    <w:basedOn w:val="5"/>
    <w:uiPriority w:val="99"/>
    <w:rPr>
      <w:color w:val="800080"/>
      <w:u w:val="single"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10">
    <w:name w:val="Heading 1 Char"/>
    <w:basedOn w:val="5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11">
    <w:name w:val="Footer Char"/>
    <w:basedOn w:val="5"/>
    <w:link w:val="3"/>
    <w:qFormat/>
    <w:locked/>
    <w:uiPriority w:val="99"/>
    <w:rPr>
      <w:sz w:val="18"/>
      <w:szCs w:val="18"/>
    </w:rPr>
  </w:style>
  <w:style w:type="character" w:customStyle="1" w:styleId="12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3">
    <w:name w:val="页眉 字符"/>
    <w:basedOn w:val="5"/>
    <w:link w:val="4"/>
    <w:locked/>
    <w:uiPriority w:val="99"/>
    <w:rPr>
      <w:kern w:val="2"/>
      <w:sz w:val="18"/>
      <w:szCs w:val="18"/>
    </w:rPr>
  </w:style>
  <w:style w:type="character" w:customStyle="1" w:styleId="14">
    <w:name w:val="页脚 字符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曲靖市直属党政机关单位</Company>
  <Pages>22</Pages>
  <Words>922</Words>
  <Characters>5256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2019-04-18T01:42:00Z</dcterms:created>
  <dc:creator>Administrator</dc:creator>
  <cp:lastModifiedBy>杨雨悦</cp:lastModifiedBy>
  <cp:lastPrinted>2019-04-18T01:39:00Z</cp:lastPrinted>
  <dcterms:modified xsi:type="dcterms:W3CDTF">2019-04-19T02:33:04Z</dcterms:modified>
  <dc:title>临沧市临翔区2019年中小学教师资格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