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_GB2312" w:hAnsi="宋体" w:eastAsia="仿宋_GB2312"/>
          <w:sz w:val="24"/>
          <w:szCs w:val="24"/>
        </w:rPr>
      </w:pPr>
      <w:bookmarkStart w:id="0" w:name="_GoBack"/>
      <w:r>
        <w:rPr>
          <w:rFonts w:hint="eastAsia" w:ascii="方正小标宋简体" w:hAnsi="方正小标宋简体" w:eastAsia="方正小标宋简体" w:cs="方正小标宋简体"/>
          <w:sz w:val="24"/>
          <w:szCs w:val="24"/>
        </w:rPr>
        <w:t>云南省中等职业学校专业课、实习指导教师资格考试面试大纲</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一、测试性质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面试是中等职业学校专业课教师和实习指导教师资格考试的组成部分，属于标准参照性考试。笔试科目《专业知识与教学能力》的考察结合面试环节进行。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二、测试目标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面试主要考察申请中等职业学校专业课教师和实习指导教师资格人员应具备的新教师基本素养、职业发展潜质、教育教学能力、专业基础知识和基本技能，主要包括：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2" w:firstLineChars="200"/>
        <w:jc w:val="both"/>
        <w:textAlignment w:val="auto"/>
        <w:outlineLvl w:val="9"/>
        <w:rPr>
          <w:rFonts w:hint="eastAsia" w:ascii="仿宋_GB2312" w:hAnsi="仿宋_GB2312" w:eastAsia="仿宋_GB2312" w:cs="仿宋_GB2312"/>
          <w:sz w:val="30"/>
          <w:szCs w:val="30"/>
        </w:rPr>
      </w:pPr>
      <w:r>
        <w:rPr>
          <w:rFonts w:hint="eastAsia" w:ascii="华文楷体" w:hAnsi="华文楷体" w:eastAsia="华文楷体" w:cs="华文楷体"/>
          <w:b/>
          <w:bCs/>
          <w:sz w:val="30"/>
          <w:szCs w:val="30"/>
          <w:lang w:eastAsia="zh-CN"/>
        </w:rPr>
        <w:t>（</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良好的职业认知、心理素质和思维品质。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较好的专业基础知识，必需的基本技能。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仪表仪态得体，有一定的表达、交流、沟通能力。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（四）</w:t>
      </w:r>
      <w:r>
        <w:rPr>
          <w:rFonts w:hint="eastAsia" w:ascii="仿宋_GB2312" w:hAnsi="仿宋_GB2312" w:eastAsia="仿宋_GB2312" w:cs="仿宋_GB2312"/>
          <w:sz w:val="30"/>
          <w:szCs w:val="30"/>
        </w:rPr>
        <w:t>能够恰当地运用教学方法、手段，教学环节规范，较好地达成教学目标。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三、测试内容与要求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（一）职业认知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1.热爱教育事业，能正确认识、理解中等职业教育专业课教师和实习指导教师的职业特征，遵守教师职业道德规范，能够正确认识、分析和评价教育教学实践中的师德问题。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关爱学生、尊重学生，公正平等地对待每一位学生，关注每一位学生的成长。遵循学生身心发展规律，以学生发展为本，培养学生的职业兴趣、学习兴趣和自信心，激发学生的主动性和创造性，发挥学生特长，挖掘学生潜质，为每一个学生提供适合的教育，提高学生的就业能力、创业能力和终身学习的能力，促进学生健康快乐成长，学有所长，全面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（二）心理素质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1.积极、开朗，有自信心。具有积极向上的精神，主动热情工作；具有坚定顽强的精神，不怕困难。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2.有较强的情绪调节与自控能力。能够有条不紊地工作，不急不躁；能够冷静处理问题，有应变能力；能公正地看待问题，不偏激，不固执。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（三）仪表仪态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1.仪表整洁，符合教育职业和场景要求。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2.举止大方，肢体语言得体，符合教师礼仪和教学内容要求。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（四）言语表达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语言清晰，语速适宜，表达准确。口齿清楚，讲话流利，发音标准，声音洪亮，语速适宜；讲话中心明确，层次分明，表达完整，有感染力。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善于倾听、交流，有亲和力。具有较强的口头表达能力，善于倾听别人的意见，并能够较准确地表达自己的观点；在交流中尊重对方、态度和蔼。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（五）思维品质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1.能够迅速、准确地理解和分析问题，有较强的综合分析能力。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2.能够清晰有条理地陈述问题，有较强的逻辑性。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3.能够比较全面地看待问题，思维灵活。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4.能够提出具有创新性的解决问题的思路和方法。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（六）教学设计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1.能体现所任专业对应行业的产业和技术发展的现状和趋势，了解教学课程在专业人才培养中的地位、作用。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2.能根据所任专业的基础知识和专业特点，准确把握教学目标、教学内容、教学重点和难点。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3.能体现学生的主体性，教学方法和手段符合中等职业学校学生特点、内容要求和场景要求，因材施教。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（七）教学实施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1.能够有效地组织学生的学习活动，注重激发学生的学习兴趣，有与学生交流的意识。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2.能够科学准确地表达和呈现教学主题、教学目标、教学内容和教学要求，主题突出，层次分明，板书工整、美观、适量。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 能合理运用教学设备或实训设备展示操作技能和操作技术规范，有良好的安全意识。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4.能够较好地控制教学时间和教学节奏，合理运用信息化手段，较好地达成教学目标。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（八）教学评价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1.在教学实施过程中注重对学生进行评价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2.能客观评价自己的教学效果。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jc w:val="both"/>
        <w:textAlignment w:val="auto"/>
        <w:outlineLvl w:val="9"/>
        <w:rPr>
          <w:rFonts w:hint="eastAsia" w:ascii="黑体" w:hAnsi="黑体" w:eastAsia="黑体" w:cs="黑体"/>
          <w:sz w:val="30"/>
          <w:szCs w:val="30"/>
        </w:rPr>
      </w:pPr>
      <w:r>
        <w:rPr>
          <w:rFonts w:hint="eastAsia" w:ascii="黑体" w:hAnsi="黑体" w:eastAsia="黑体" w:cs="黑体"/>
          <w:sz w:val="30"/>
          <w:szCs w:val="30"/>
        </w:rPr>
        <w:t>四、测试方法与流程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（一）测试方法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采取结构化面试和情境模拟相结合的方法，通过抽题、备课、专业概述、试讲(演示)、答辩等方式进行。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（二）测试流程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1.抽取试题。考生根据自己所报考的专业，自带一本正式出版的本专业中职或以上学校的专业课教材，工作人员在教材中随机抽取章节作为考试题目。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抽题方法：第一步，抽题室工作人员对教材进行审核，查看本教材有多少章，用相应的号码球对应不同的章，由考生随机抽取第几章；第二步，工作人员查看考生抽取的章含多少节，用相应的号码球对应不同的节，由考生随机抽取相应的节；第三步，工作人员将考生随机抽取的章节内容作为备课和试讲内容，登记在备课纸上，考生签名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 备课。考生根据抽取的备课内容，进行教学设计。时间20分钟。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报考专业课教师应按理论课或理实一体化课的要求，进行教学设计。报考实习指导教师应按实验实训课的要求，进行教学设计。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3.专业概述。考生针对拟任教专业进行专业概述。时间5分钟。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4.试讲（演示）。考生按照准备的教学方案进行试讲（或演示）。时间10分钟。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5.答辩。考官进行提问，考生答辩。时间5分钟。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6.评分。考官根据考生面试过程中的表现，进行综合性评分。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0" w:firstLineChars="200"/>
        <w:jc w:val="both"/>
        <w:textAlignment w:val="auto"/>
        <w:outlineLvl w:val="9"/>
        <w:rPr>
          <w:rFonts w:hint="eastAsia" w:ascii="黑体" w:hAnsi="黑体" w:eastAsia="黑体" w:cs="黑体"/>
          <w:sz w:val="28"/>
          <w:szCs w:val="28"/>
        </w:rPr>
      </w:pPr>
      <w:r>
        <w:rPr>
          <w:rFonts w:hint="eastAsia" w:ascii="黑体" w:hAnsi="黑体" w:eastAsia="黑体" w:cs="黑体"/>
          <w:sz w:val="30"/>
          <w:szCs w:val="30"/>
        </w:rPr>
        <w:t>五、评分标准</w:t>
      </w:r>
    </w:p>
    <w:p>
      <w:pPr>
        <w:spacing w:line="400" w:lineRule="exact"/>
        <w:ind w:firstLine="560" w:firstLineChars="200"/>
        <w:rPr>
          <w:rFonts w:hint="eastAsia" w:ascii="仿宋_GB2312" w:hAnsi="宋体" w:eastAsia="仿宋_GB2312"/>
          <w:sz w:val="28"/>
          <w:szCs w:val="28"/>
        </w:rPr>
      </w:pPr>
    </w:p>
    <w:tbl>
      <w:tblPr>
        <w:tblStyle w:val="4"/>
        <w:tblW w:w="9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3"/>
        <w:gridCol w:w="835"/>
        <w:gridCol w:w="483"/>
        <w:gridCol w:w="509"/>
        <w:gridCol w:w="7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80" w:hRule="atLeast"/>
          <w:jc w:val="center"/>
        </w:trPr>
        <w:tc>
          <w:tcPr>
            <w:tcW w:w="48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序号</w:t>
            </w:r>
          </w:p>
        </w:tc>
        <w:tc>
          <w:tcPr>
            <w:tcW w:w="83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测试项目</w:t>
            </w:r>
          </w:p>
        </w:tc>
        <w:tc>
          <w:tcPr>
            <w:tcW w:w="48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权重</w:t>
            </w:r>
          </w:p>
        </w:tc>
        <w:tc>
          <w:tcPr>
            <w:tcW w:w="50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分值</w:t>
            </w:r>
          </w:p>
        </w:tc>
        <w:tc>
          <w:tcPr>
            <w:tcW w:w="7190"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6" w:hRule="exact"/>
          <w:jc w:val="center"/>
        </w:trPr>
        <w:tc>
          <w:tcPr>
            <w:tcW w:w="483"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一</w:t>
            </w:r>
          </w:p>
        </w:tc>
        <w:tc>
          <w:tcPr>
            <w:tcW w:w="835"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职业认知</w:t>
            </w:r>
          </w:p>
        </w:tc>
        <w:tc>
          <w:tcPr>
            <w:tcW w:w="483"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5</w:t>
            </w:r>
          </w:p>
        </w:tc>
        <w:tc>
          <w:tcPr>
            <w:tcW w:w="50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3</w:t>
            </w:r>
          </w:p>
        </w:tc>
        <w:tc>
          <w:tcPr>
            <w:tcW w:w="7190" w:type="dxa"/>
            <w:vAlign w:val="center"/>
          </w:tcPr>
          <w:p>
            <w:pPr>
              <w:spacing w:line="400" w:lineRule="exact"/>
              <w:jc w:val="left"/>
              <w:rPr>
                <w:rFonts w:hint="eastAsia" w:ascii="仿宋_GB2312" w:eastAsia="仿宋_GB2312"/>
                <w:sz w:val="24"/>
                <w:szCs w:val="24"/>
              </w:rPr>
            </w:pPr>
            <w:r>
              <w:rPr>
                <w:rFonts w:hint="eastAsia" w:ascii="仿宋_GB2312" w:eastAsia="仿宋_GB2312"/>
                <w:sz w:val="24"/>
                <w:szCs w:val="24"/>
              </w:rPr>
              <w:t>热爱教育事业，有较强的从教愿望，能正确认识、理解中等职业教育专业课教师和实习指导教师的职业特征，遵守教师职业道德规范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483" w:type="dxa"/>
            <w:vMerge w:val="continue"/>
            <w:vAlign w:val="center"/>
          </w:tcPr>
          <w:p>
            <w:pPr>
              <w:spacing w:line="400" w:lineRule="exact"/>
              <w:jc w:val="center"/>
              <w:rPr>
                <w:rFonts w:ascii="仿宋_GB2312" w:eastAsia="仿宋_GB2312"/>
                <w:sz w:val="24"/>
                <w:szCs w:val="24"/>
              </w:rPr>
            </w:pPr>
          </w:p>
        </w:tc>
        <w:tc>
          <w:tcPr>
            <w:tcW w:w="835" w:type="dxa"/>
            <w:vMerge w:val="continue"/>
            <w:vAlign w:val="center"/>
          </w:tcPr>
          <w:p>
            <w:pPr>
              <w:spacing w:line="400" w:lineRule="exact"/>
              <w:jc w:val="center"/>
              <w:rPr>
                <w:rFonts w:ascii="仿宋_GB2312" w:eastAsia="仿宋_GB2312"/>
                <w:sz w:val="24"/>
                <w:szCs w:val="24"/>
              </w:rPr>
            </w:pPr>
          </w:p>
        </w:tc>
        <w:tc>
          <w:tcPr>
            <w:tcW w:w="483" w:type="dxa"/>
            <w:vMerge w:val="continue"/>
            <w:vAlign w:val="center"/>
          </w:tcPr>
          <w:p>
            <w:pPr>
              <w:spacing w:line="400" w:lineRule="exact"/>
              <w:jc w:val="center"/>
              <w:rPr>
                <w:rFonts w:ascii="仿宋_GB2312" w:eastAsia="仿宋_GB2312"/>
                <w:sz w:val="24"/>
                <w:szCs w:val="24"/>
              </w:rPr>
            </w:pPr>
          </w:p>
        </w:tc>
        <w:tc>
          <w:tcPr>
            <w:tcW w:w="50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7190" w:type="dxa"/>
            <w:vAlign w:val="center"/>
          </w:tcPr>
          <w:p>
            <w:pPr>
              <w:spacing w:line="400" w:lineRule="exact"/>
              <w:jc w:val="left"/>
              <w:rPr>
                <w:rFonts w:hint="eastAsia" w:ascii="仿宋_GB2312" w:eastAsia="仿宋_GB2312"/>
                <w:sz w:val="24"/>
                <w:szCs w:val="24"/>
              </w:rPr>
            </w:pPr>
            <w:r>
              <w:rPr>
                <w:rFonts w:hint="eastAsia" w:ascii="仿宋_GB2312" w:eastAsia="仿宋_GB2312"/>
                <w:sz w:val="24"/>
                <w:szCs w:val="24"/>
              </w:rPr>
              <w:t>关爱学生，尊重学生、公正平等对待学生，关注每个学生的成长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483"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二</w:t>
            </w:r>
          </w:p>
        </w:tc>
        <w:tc>
          <w:tcPr>
            <w:tcW w:w="835"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心理素质</w:t>
            </w:r>
          </w:p>
        </w:tc>
        <w:tc>
          <w:tcPr>
            <w:tcW w:w="483"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5</w:t>
            </w:r>
          </w:p>
        </w:tc>
        <w:tc>
          <w:tcPr>
            <w:tcW w:w="50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3</w:t>
            </w:r>
          </w:p>
        </w:tc>
        <w:tc>
          <w:tcPr>
            <w:tcW w:w="7190" w:type="dxa"/>
            <w:vAlign w:val="center"/>
          </w:tcPr>
          <w:p>
            <w:pPr>
              <w:spacing w:line="400" w:lineRule="exact"/>
              <w:jc w:val="left"/>
              <w:rPr>
                <w:rFonts w:hint="eastAsia" w:ascii="仿宋_GB2312" w:eastAsia="仿宋_GB2312"/>
                <w:sz w:val="24"/>
                <w:szCs w:val="24"/>
              </w:rPr>
            </w:pPr>
            <w:r>
              <w:rPr>
                <w:rFonts w:hint="eastAsia" w:ascii="仿宋_GB2312" w:eastAsia="仿宋_GB2312"/>
                <w:sz w:val="24"/>
                <w:szCs w:val="24"/>
              </w:rPr>
              <w:t>积极、开朗，有自信心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483" w:type="dxa"/>
            <w:vMerge w:val="continue"/>
            <w:vAlign w:val="center"/>
          </w:tcPr>
          <w:p>
            <w:pPr>
              <w:spacing w:line="400" w:lineRule="exact"/>
              <w:jc w:val="center"/>
              <w:rPr>
                <w:rFonts w:ascii="仿宋_GB2312" w:eastAsia="仿宋_GB2312"/>
                <w:sz w:val="24"/>
                <w:szCs w:val="24"/>
              </w:rPr>
            </w:pPr>
          </w:p>
        </w:tc>
        <w:tc>
          <w:tcPr>
            <w:tcW w:w="835" w:type="dxa"/>
            <w:vMerge w:val="continue"/>
            <w:vAlign w:val="center"/>
          </w:tcPr>
          <w:p>
            <w:pPr>
              <w:spacing w:line="400" w:lineRule="exact"/>
              <w:jc w:val="center"/>
              <w:rPr>
                <w:rFonts w:ascii="仿宋_GB2312" w:eastAsia="仿宋_GB2312"/>
                <w:sz w:val="24"/>
                <w:szCs w:val="24"/>
              </w:rPr>
            </w:pPr>
          </w:p>
        </w:tc>
        <w:tc>
          <w:tcPr>
            <w:tcW w:w="483" w:type="dxa"/>
            <w:vMerge w:val="continue"/>
            <w:vAlign w:val="center"/>
          </w:tcPr>
          <w:p>
            <w:pPr>
              <w:spacing w:line="400" w:lineRule="exact"/>
              <w:jc w:val="center"/>
              <w:rPr>
                <w:rFonts w:ascii="仿宋_GB2312" w:eastAsia="仿宋_GB2312"/>
                <w:sz w:val="24"/>
                <w:szCs w:val="24"/>
              </w:rPr>
            </w:pPr>
          </w:p>
        </w:tc>
        <w:tc>
          <w:tcPr>
            <w:tcW w:w="50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7190" w:type="dxa"/>
            <w:vAlign w:val="center"/>
          </w:tcPr>
          <w:p>
            <w:pPr>
              <w:spacing w:line="400" w:lineRule="exact"/>
              <w:jc w:val="left"/>
              <w:rPr>
                <w:rFonts w:hint="eastAsia" w:ascii="仿宋_GB2312" w:eastAsia="仿宋_GB2312"/>
                <w:sz w:val="24"/>
                <w:szCs w:val="24"/>
              </w:rPr>
            </w:pPr>
            <w:r>
              <w:rPr>
                <w:rFonts w:hint="eastAsia" w:ascii="仿宋_GB2312" w:eastAsia="仿宋_GB2312"/>
                <w:sz w:val="24"/>
                <w:szCs w:val="24"/>
              </w:rPr>
              <w:t>有较强的情绪调节与自控能力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483"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三</w:t>
            </w:r>
          </w:p>
        </w:tc>
        <w:tc>
          <w:tcPr>
            <w:tcW w:w="835"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仪表仪态</w:t>
            </w:r>
          </w:p>
        </w:tc>
        <w:tc>
          <w:tcPr>
            <w:tcW w:w="483"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5</w:t>
            </w:r>
          </w:p>
        </w:tc>
        <w:tc>
          <w:tcPr>
            <w:tcW w:w="509"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2</w:t>
            </w:r>
          </w:p>
        </w:tc>
        <w:tc>
          <w:tcPr>
            <w:tcW w:w="7190" w:type="dxa"/>
            <w:vAlign w:val="top"/>
          </w:tcPr>
          <w:p>
            <w:pPr>
              <w:spacing w:line="400" w:lineRule="exact"/>
              <w:jc w:val="left"/>
              <w:rPr>
                <w:rFonts w:hint="eastAsia" w:ascii="仿宋_GB2312" w:eastAsia="仿宋_GB2312"/>
                <w:sz w:val="24"/>
                <w:szCs w:val="24"/>
              </w:rPr>
            </w:pPr>
            <w:r>
              <w:rPr>
                <w:rFonts w:hint="eastAsia" w:ascii="仿宋_GB2312" w:eastAsia="仿宋_GB2312"/>
                <w:sz w:val="24"/>
                <w:szCs w:val="24"/>
              </w:rPr>
              <w:t>衣着整洁，仪表得体，符合中等职业教育专业课教师和实习指导教师职业特点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483" w:type="dxa"/>
            <w:vMerge w:val="continue"/>
            <w:vAlign w:val="center"/>
          </w:tcPr>
          <w:p>
            <w:pPr>
              <w:spacing w:line="400" w:lineRule="exact"/>
              <w:jc w:val="center"/>
              <w:rPr>
                <w:rFonts w:ascii="仿宋_GB2312" w:eastAsia="仿宋_GB2312"/>
                <w:sz w:val="24"/>
                <w:szCs w:val="24"/>
              </w:rPr>
            </w:pPr>
          </w:p>
        </w:tc>
        <w:tc>
          <w:tcPr>
            <w:tcW w:w="835" w:type="dxa"/>
            <w:vMerge w:val="continue"/>
            <w:vAlign w:val="center"/>
          </w:tcPr>
          <w:p>
            <w:pPr>
              <w:spacing w:line="400" w:lineRule="exact"/>
              <w:jc w:val="center"/>
              <w:rPr>
                <w:rFonts w:ascii="仿宋_GB2312" w:eastAsia="仿宋_GB2312"/>
                <w:sz w:val="24"/>
                <w:szCs w:val="24"/>
              </w:rPr>
            </w:pPr>
          </w:p>
        </w:tc>
        <w:tc>
          <w:tcPr>
            <w:tcW w:w="483" w:type="dxa"/>
            <w:vMerge w:val="continue"/>
            <w:vAlign w:val="center"/>
          </w:tcPr>
          <w:p>
            <w:pPr>
              <w:spacing w:line="400" w:lineRule="exact"/>
              <w:jc w:val="center"/>
              <w:rPr>
                <w:rFonts w:ascii="仿宋_GB2312" w:eastAsia="仿宋_GB2312"/>
                <w:sz w:val="24"/>
                <w:szCs w:val="24"/>
              </w:rPr>
            </w:pPr>
          </w:p>
        </w:tc>
        <w:tc>
          <w:tcPr>
            <w:tcW w:w="509"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3</w:t>
            </w:r>
          </w:p>
        </w:tc>
        <w:tc>
          <w:tcPr>
            <w:tcW w:w="7190" w:type="dxa"/>
            <w:vAlign w:val="top"/>
          </w:tcPr>
          <w:p>
            <w:pPr>
              <w:spacing w:line="400" w:lineRule="exact"/>
              <w:jc w:val="left"/>
              <w:rPr>
                <w:rFonts w:hint="eastAsia" w:ascii="仿宋_GB2312" w:eastAsia="仿宋_GB2312"/>
                <w:sz w:val="24"/>
                <w:szCs w:val="24"/>
              </w:rPr>
            </w:pPr>
            <w:r>
              <w:rPr>
                <w:rFonts w:hint="eastAsia" w:ascii="仿宋_GB2312" w:eastAsia="仿宋_GB2312"/>
                <w:sz w:val="24"/>
                <w:szCs w:val="24"/>
              </w:rPr>
              <w:t>行为举止稳重端庄大方，教态自然，肢体表达得当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483"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四</w:t>
            </w:r>
          </w:p>
        </w:tc>
        <w:tc>
          <w:tcPr>
            <w:tcW w:w="835"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言语表达</w:t>
            </w:r>
          </w:p>
        </w:tc>
        <w:tc>
          <w:tcPr>
            <w:tcW w:w="483"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10</w:t>
            </w:r>
          </w:p>
        </w:tc>
        <w:tc>
          <w:tcPr>
            <w:tcW w:w="509"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5</w:t>
            </w:r>
          </w:p>
        </w:tc>
        <w:tc>
          <w:tcPr>
            <w:tcW w:w="7190" w:type="dxa"/>
            <w:vAlign w:val="top"/>
          </w:tcPr>
          <w:p>
            <w:pPr>
              <w:spacing w:line="400" w:lineRule="exact"/>
              <w:jc w:val="left"/>
              <w:rPr>
                <w:rFonts w:hint="eastAsia" w:ascii="仿宋_GB2312" w:eastAsia="仿宋_GB2312"/>
                <w:sz w:val="24"/>
                <w:szCs w:val="24"/>
              </w:rPr>
            </w:pPr>
            <w:r>
              <w:rPr>
                <w:rFonts w:hint="eastAsia" w:ascii="仿宋_GB2312" w:eastAsia="仿宋_GB2312"/>
                <w:sz w:val="24"/>
                <w:szCs w:val="24"/>
              </w:rPr>
              <w:t>语言清晰，表达准确，语速适宜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483" w:type="dxa"/>
            <w:vMerge w:val="continue"/>
            <w:vAlign w:val="center"/>
          </w:tcPr>
          <w:p>
            <w:pPr>
              <w:spacing w:line="400" w:lineRule="exact"/>
              <w:jc w:val="center"/>
              <w:rPr>
                <w:rFonts w:ascii="仿宋_GB2312" w:eastAsia="仿宋_GB2312"/>
                <w:sz w:val="24"/>
                <w:szCs w:val="24"/>
              </w:rPr>
            </w:pPr>
          </w:p>
        </w:tc>
        <w:tc>
          <w:tcPr>
            <w:tcW w:w="835" w:type="dxa"/>
            <w:vMerge w:val="continue"/>
            <w:vAlign w:val="center"/>
          </w:tcPr>
          <w:p>
            <w:pPr>
              <w:spacing w:line="400" w:lineRule="exact"/>
              <w:jc w:val="center"/>
              <w:rPr>
                <w:rFonts w:ascii="仿宋_GB2312" w:eastAsia="仿宋_GB2312"/>
                <w:sz w:val="24"/>
                <w:szCs w:val="24"/>
              </w:rPr>
            </w:pPr>
          </w:p>
        </w:tc>
        <w:tc>
          <w:tcPr>
            <w:tcW w:w="483" w:type="dxa"/>
            <w:vMerge w:val="continue"/>
            <w:vAlign w:val="center"/>
          </w:tcPr>
          <w:p>
            <w:pPr>
              <w:spacing w:line="400" w:lineRule="exact"/>
              <w:jc w:val="center"/>
              <w:rPr>
                <w:rFonts w:ascii="仿宋_GB2312" w:eastAsia="仿宋_GB2312"/>
                <w:sz w:val="24"/>
                <w:szCs w:val="24"/>
              </w:rPr>
            </w:pPr>
          </w:p>
        </w:tc>
        <w:tc>
          <w:tcPr>
            <w:tcW w:w="509"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5</w:t>
            </w:r>
          </w:p>
        </w:tc>
        <w:tc>
          <w:tcPr>
            <w:tcW w:w="7190" w:type="dxa"/>
            <w:vAlign w:val="top"/>
          </w:tcPr>
          <w:p>
            <w:pPr>
              <w:spacing w:line="400" w:lineRule="exact"/>
              <w:jc w:val="left"/>
              <w:rPr>
                <w:rFonts w:hint="eastAsia" w:ascii="仿宋_GB2312" w:eastAsia="仿宋_GB2312"/>
                <w:sz w:val="24"/>
                <w:szCs w:val="24"/>
              </w:rPr>
            </w:pPr>
            <w:r>
              <w:rPr>
                <w:rFonts w:hint="eastAsia" w:ascii="仿宋_GB2312" w:eastAsia="仿宋_GB2312"/>
                <w:sz w:val="24"/>
                <w:szCs w:val="24"/>
              </w:rPr>
              <w:t>善于倾听、交流，有亲和力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483"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五</w:t>
            </w:r>
          </w:p>
        </w:tc>
        <w:tc>
          <w:tcPr>
            <w:tcW w:w="835"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思维品质</w:t>
            </w:r>
          </w:p>
        </w:tc>
        <w:tc>
          <w:tcPr>
            <w:tcW w:w="483" w:type="dxa"/>
            <w:vMerge w:val="restart"/>
            <w:vAlign w:val="center"/>
          </w:tcPr>
          <w:p>
            <w:pPr>
              <w:spacing w:line="400" w:lineRule="exact"/>
              <w:jc w:val="center"/>
              <w:rPr>
                <w:rFonts w:ascii="仿宋_GB2312" w:eastAsia="仿宋_GB2312"/>
                <w:sz w:val="24"/>
                <w:szCs w:val="24"/>
              </w:rPr>
            </w:pPr>
            <w:r>
              <w:rPr>
                <w:rFonts w:hint="eastAsia" w:ascii="仿宋_GB2312" w:eastAsia="仿宋_GB2312"/>
                <w:sz w:val="24"/>
                <w:szCs w:val="24"/>
              </w:rPr>
              <w:t>10</w:t>
            </w:r>
          </w:p>
        </w:tc>
        <w:tc>
          <w:tcPr>
            <w:tcW w:w="509"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4</w:t>
            </w:r>
          </w:p>
        </w:tc>
        <w:tc>
          <w:tcPr>
            <w:tcW w:w="7190" w:type="dxa"/>
            <w:vAlign w:val="top"/>
          </w:tcPr>
          <w:p>
            <w:pPr>
              <w:spacing w:line="400" w:lineRule="exact"/>
              <w:jc w:val="left"/>
              <w:rPr>
                <w:rFonts w:hint="eastAsia" w:ascii="仿宋_GB2312" w:eastAsia="仿宋_GB2312"/>
                <w:sz w:val="24"/>
                <w:szCs w:val="24"/>
              </w:rPr>
            </w:pPr>
            <w:r>
              <w:rPr>
                <w:rFonts w:hint="eastAsia" w:ascii="仿宋_GB2312" w:eastAsia="仿宋_GB2312"/>
                <w:sz w:val="24"/>
                <w:szCs w:val="24"/>
              </w:rPr>
              <w:t>思维缜密、灵活，富有条理，看待问题全面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483" w:type="dxa"/>
            <w:vMerge w:val="continue"/>
            <w:vAlign w:val="center"/>
          </w:tcPr>
          <w:p>
            <w:pPr>
              <w:spacing w:line="400" w:lineRule="exact"/>
              <w:jc w:val="center"/>
              <w:rPr>
                <w:rFonts w:ascii="仿宋_GB2312" w:eastAsia="仿宋_GB2312"/>
                <w:sz w:val="24"/>
                <w:szCs w:val="24"/>
              </w:rPr>
            </w:pPr>
          </w:p>
        </w:tc>
        <w:tc>
          <w:tcPr>
            <w:tcW w:w="835" w:type="dxa"/>
            <w:vMerge w:val="continue"/>
            <w:vAlign w:val="center"/>
          </w:tcPr>
          <w:p>
            <w:pPr>
              <w:spacing w:line="400" w:lineRule="exact"/>
              <w:jc w:val="center"/>
              <w:rPr>
                <w:rFonts w:ascii="仿宋_GB2312" w:eastAsia="仿宋_GB2312"/>
                <w:sz w:val="24"/>
                <w:szCs w:val="24"/>
              </w:rPr>
            </w:pPr>
          </w:p>
        </w:tc>
        <w:tc>
          <w:tcPr>
            <w:tcW w:w="483" w:type="dxa"/>
            <w:vMerge w:val="continue"/>
            <w:vAlign w:val="center"/>
          </w:tcPr>
          <w:p>
            <w:pPr>
              <w:spacing w:line="400" w:lineRule="exact"/>
              <w:jc w:val="center"/>
              <w:rPr>
                <w:rFonts w:ascii="仿宋_GB2312" w:eastAsia="仿宋_GB2312"/>
                <w:sz w:val="24"/>
                <w:szCs w:val="24"/>
              </w:rPr>
            </w:pPr>
          </w:p>
        </w:tc>
        <w:tc>
          <w:tcPr>
            <w:tcW w:w="509"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3</w:t>
            </w:r>
          </w:p>
        </w:tc>
        <w:tc>
          <w:tcPr>
            <w:tcW w:w="7190" w:type="dxa"/>
            <w:vAlign w:val="top"/>
          </w:tcPr>
          <w:p>
            <w:pPr>
              <w:spacing w:line="400" w:lineRule="exact"/>
              <w:jc w:val="left"/>
              <w:rPr>
                <w:rFonts w:hint="eastAsia" w:ascii="仿宋_GB2312" w:eastAsia="仿宋_GB2312"/>
                <w:sz w:val="24"/>
                <w:szCs w:val="24"/>
              </w:rPr>
            </w:pPr>
            <w:r>
              <w:rPr>
                <w:rFonts w:hint="eastAsia" w:ascii="仿宋_GB2312" w:eastAsia="仿宋_GB2312"/>
                <w:sz w:val="24"/>
                <w:szCs w:val="24"/>
              </w:rPr>
              <w:t>迅速地抓住核心要素，准确地理解和分析问题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exact"/>
          <w:jc w:val="center"/>
        </w:trPr>
        <w:tc>
          <w:tcPr>
            <w:tcW w:w="483" w:type="dxa"/>
            <w:vMerge w:val="continue"/>
            <w:vAlign w:val="center"/>
          </w:tcPr>
          <w:p>
            <w:pPr>
              <w:spacing w:line="400" w:lineRule="exact"/>
              <w:jc w:val="center"/>
              <w:rPr>
                <w:rFonts w:ascii="仿宋_GB2312" w:eastAsia="仿宋_GB2312"/>
                <w:sz w:val="24"/>
                <w:szCs w:val="24"/>
              </w:rPr>
            </w:pPr>
          </w:p>
        </w:tc>
        <w:tc>
          <w:tcPr>
            <w:tcW w:w="835" w:type="dxa"/>
            <w:vMerge w:val="continue"/>
            <w:vAlign w:val="center"/>
          </w:tcPr>
          <w:p>
            <w:pPr>
              <w:spacing w:line="400" w:lineRule="exact"/>
              <w:jc w:val="center"/>
              <w:rPr>
                <w:rFonts w:ascii="仿宋_GB2312" w:eastAsia="仿宋_GB2312"/>
                <w:sz w:val="24"/>
                <w:szCs w:val="24"/>
              </w:rPr>
            </w:pPr>
          </w:p>
        </w:tc>
        <w:tc>
          <w:tcPr>
            <w:tcW w:w="483" w:type="dxa"/>
            <w:vMerge w:val="continue"/>
            <w:vAlign w:val="center"/>
          </w:tcPr>
          <w:p>
            <w:pPr>
              <w:spacing w:line="400" w:lineRule="exact"/>
              <w:jc w:val="center"/>
              <w:rPr>
                <w:rFonts w:ascii="仿宋_GB2312" w:eastAsia="仿宋_GB2312"/>
                <w:sz w:val="24"/>
                <w:szCs w:val="24"/>
              </w:rPr>
            </w:pPr>
          </w:p>
        </w:tc>
        <w:tc>
          <w:tcPr>
            <w:tcW w:w="509" w:type="dxa"/>
            <w:vAlign w:val="top"/>
          </w:tcPr>
          <w:p>
            <w:pPr>
              <w:spacing w:line="400" w:lineRule="exact"/>
              <w:jc w:val="center"/>
              <w:rPr>
                <w:rFonts w:ascii="仿宋_GB2312" w:eastAsia="仿宋_GB2312"/>
                <w:sz w:val="24"/>
                <w:szCs w:val="24"/>
              </w:rPr>
            </w:pPr>
            <w:r>
              <w:rPr>
                <w:rFonts w:hint="eastAsia" w:ascii="仿宋_GB2312" w:eastAsia="仿宋_GB2312"/>
                <w:sz w:val="24"/>
                <w:szCs w:val="24"/>
              </w:rPr>
              <w:t>3</w:t>
            </w:r>
          </w:p>
        </w:tc>
        <w:tc>
          <w:tcPr>
            <w:tcW w:w="7190" w:type="dxa"/>
            <w:vAlign w:val="top"/>
          </w:tcPr>
          <w:p>
            <w:pPr>
              <w:spacing w:line="400" w:lineRule="exact"/>
              <w:jc w:val="left"/>
              <w:rPr>
                <w:rFonts w:hint="eastAsia" w:ascii="仿宋_GB2312" w:eastAsia="仿宋_GB2312"/>
                <w:sz w:val="24"/>
                <w:szCs w:val="24"/>
              </w:rPr>
            </w:pPr>
            <w:r>
              <w:rPr>
                <w:rFonts w:hint="eastAsia" w:ascii="仿宋_GB2312" w:eastAsia="仿宋_GB2312"/>
                <w:sz w:val="24"/>
                <w:szCs w:val="24"/>
              </w:rPr>
              <w:t>具有创新性的解决问题的思路和方法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80" w:hRule="exact"/>
          <w:jc w:val="center"/>
        </w:trPr>
        <w:tc>
          <w:tcPr>
            <w:tcW w:w="48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六</w:t>
            </w:r>
          </w:p>
        </w:tc>
        <w:tc>
          <w:tcPr>
            <w:tcW w:w="835"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教学设计</w:t>
            </w:r>
          </w:p>
        </w:tc>
        <w:tc>
          <w:tcPr>
            <w:tcW w:w="483"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30</w:t>
            </w:r>
          </w:p>
        </w:tc>
        <w:tc>
          <w:tcPr>
            <w:tcW w:w="509" w:type="dxa"/>
            <w:vAlign w:val="center"/>
          </w:tcPr>
          <w:p>
            <w:pPr>
              <w:spacing w:line="400" w:lineRule="exact"/>
              <w:jc w:val="center"/>
              <w:rPr>
                <w:rFonts w:ascii="仿宋_GB2312" w:eastAsia="仿宋_GB2312"/>
                <w:sz w:val="24"/>
                <w:szCs w:val="24"/>
              </w:rPr>
            </w:pPr>
            <w:r>
              <w:rPr>
                <w:rFonts w:hint="eastAsia" w:ascii="仿宋_GB2312" w:eastAsia="仿宋_GB2312"/>
                <w:sz w:val="24"/>
                <w:szCs w:val="24"/>
              </w:rPr>
              <w:t>10</w:t>
            </w:r>
          </w:p>
        </w:tc>
        <w:tc>
          <w:tcPr>
            <w:tcW w:w="7190" w:type="dxa"/>
            <w:vAlign w:val="top"/>
          </w:tcPr>
          <w:p>
            <w:pPr>
              <w:spacing w:line="400" w:lineRule="exact"/>
              <w:jc w:val="left"/>
              <w:rPr>
                <w:rFonts w:hint="eastAsia" w:ascii="仿宋_GB2312" w:eastAsia="仿宋_GB2312"/>
                <w:sz w:val="24"/>
                <w:szCs w:val="24"/>
              </w:rPr>
            </w:pPr>
            <w:r>
              <w:rPr>
                <w:rFonts w:hint="eastAsia" w:ascii="仿宋_GB2312" w:eastAsia="仿宋_GB2312"/>
                <w:sz w:val="24"/>
                <w:szCs w:val="24"/>
              </w:rPr>
              <w:t>能体现所任专业对应行业的产业和技术发展的现状和趋势，了解教学课程在专业人才培养中的地位、作用。</w:t>
            </w:r>
          </w:p>
        </w:tc>
      </w:tr>
    </w:tbl>
    <w:p>
      <w:pPr>
        <w:spacing w:line="360" w:lineRule="auto"/>
      </w:pPr>
      <w:r>
        <w:rPr>
          <w:rFonts w:hint="eastAsia" w:ascii="微软雅黑" w:hAnsi="微软雅黑" w:eastAsia="微软雅黑"/>
          <w:sz w:val="26"/>
          <w:lang w:val="en-US" w:eastAsia="zh-CN"/>
        </w:rPr>
        <w:t xml:space="preserve">                                                                             </w:t>
      </w:r>
      <w:r>
        <w:rPr>
          <w:rFonts w:hint="eastAsia" w:ascii="微软雅黑" w:hAnsi="微软雅黑" w:eastAsia="微软雅黑"/>
          <w:sz w:val="24"/>
          <w:szCs w:val="24"/>
          <w:lang w:val="en-US" w:eastAsia="zh-CN"/>
        </w:rPr>
        <w:t xml:space="preserve">    </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方正小标宋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F0193"/>
    <w:rsid w:val="766F01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2017-12-11T07:55:00Z</dcterms:created>
  <dc:creator>ASUS</dc:creator>
  <cp:lastModifiedBy>ASUS</cp:lastModifiedBy>
  <dcterms:modified xsi:type="dcterms:W3CDTF">2017-12-11T07:55:18Z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