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51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853"/>
        <w:gridCol w:w="704"/>
        <w:gridCol w:w="988"/>
        <w:gridCol w:w="4098"/>
        <w:gridCol w:w="133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Style w:val="4"/>
                <w:rFonts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85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Style w:val="4"/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70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Style w:val="4"/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数量</w:t>
            </w:r>
          </w:p>
        </w:tc>
        <w:tc>
          <w:tcPr>
            <w:tcW w:w="641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应聘条件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专业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相关要求</w:t>
            </w:r>
          </w:p>
        </w:tc>
        <w:tc>
          <w:tcPr>
            <w:tcW w:w="13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</w:pPr>
            <w:r>
              <w:rPr>
                <w:rStyle w:val="4"/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金融学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、能承担经济与金融专业的相关课程与实训：金融营销学、统计学、保险学、金融学、世界经济概论、国际贸易理论与实务、公司金融、金融风险管理、国际金融学、金融市场学、国际结算、国际投资学、国际经济管理学等；2、有中级经济师、高级经济师、CFA、保险精算师等证书者优先；具备双语教学能力者优先。</w:t>
            </w:r>
          </w:p>
        </w:tc>
        <w:tc>
          <w:tcPr>
            <w:tcW w:w="133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硕士及以上学历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3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专任教师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会计学</w:t>
            </w:r>
          </w:p>
        </w:tc>
        <w:tc>
          <w:tcPr>
            <w:tcW w:w="40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left"/>
            </w:pPr>
            <w:r>
              <w:rPr>
                <w:rFonts w:hint="default" w:ascii="仿宋_GB2312" w:eastAsia="仿宋_GB2312" w:cs="仿宋_GB2312"/>
                <w:color w:val="000000"/>
                <w:sz w:val="24"/>
                <w:szCs w:val="24"/>
                <w:bdr w:val="none" w:color="auto" w:sz="0" w:space="0"/>
              </w:rPr>
              <w:t>1、能承担财务会计、财务管理专业的相关课程与实训：税法、财务管理、管理会计、审计、中级财务会计、高级财务会计、证券投资学、纳税申报实训等。2、有会计、审计、财务管理、管理会计相关从业证书者优先；具备双语教学能力者优先。</w:t>
            </w:r>
          </w:p>
        </w:tc>
        <w:tc>
          <w:tcPr>
            <w:tcW w:w="133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1319B"/>
    <w:rsid w:val="4A61319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2018-07-02T08:46:00Z</dcterms:created>
  <dc:creator>Administrator</dc:creator>
  <cp:lastModifiedBy>Administrator</cp:lastModifiedBy>
  <dcterms:modified xsi:type="dcterms:W3CDTF">2018-07-02T08:47:19Z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